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77777777" w:rsidR="00F43911" w:rsidRPr="00396116" w:rsidRDefault="00F43911" w:rsidP="00F43911">
      <w:pPr>
        <w:pStyle w:val="Titlelevel2"/>
        <w:spacing w:before="0"/>
        <w:jc w:val="center"/>
        <w:rPr>
          <w:rFonts w:ascii="Times New Roman" w:hAnsi="Times New Roman" w:cs="Times New Roman"/>
          <w:b/>
          <w:color w:val="auto"/>
          <w:sz w:val="24"/>
          <w:u w:val="single"/>
        </w:rPr>
      </w:pPr>
      <w:r w:rsidRPr="00396116">
        <w:rPr>
          <w:rFonts w:ascii="Times New Roman" w:hAnsi="Times New Roman"/>
          <w:b/>
          <w:color w:val="auto"/>
          <w:sz w:val="24"/>
          <w:u w:val="single"/>
        </w:rPr>
        <w:t>ZAŁĄCZNIK XXVI – Tabele i wzory do celów ujawniania informacji na temat ryzyka kredytowego kontrahenta: Instrukcje</w:t>
      </w:r>
    </w:p>
    <w:p w14:paraId="4C2BDA19" w14:textId="77B83EEA" w:rsidR="00F43911" w:rsidRPr="00396116" w:rsidRDefault="00F43911" w:rsidP="00F43911">
      <w:pPr>
        <w:pStyle w:val="Titlelevel2"/>
        <w:numPr>
          <w:ilvl w:val="0"/>
          <w:numId w:val="2"/>
        </w:numPr>
        <w:spacing w:before="0"/>
        <w:jc w:val="both"/>
        <w:rPr>
          <w:rFonts w:ascii="Times New Roman" w:hAnsi="Times New Roman" w:cs="Times New Roman"/>
          <w:color w:val="auto"/>
          <w:sz w:val="24"/>
        </w:rPr>
      </w:pPr>
      <w:r w:rsidRPr="00396116">
        <w:rPr>
          <w:rFonts w:ascii="Times New Roman" w:hAnsi="Times New Roman"/>
          <w:color w:val="auto"/>
          <w:sz w:val="24"/>
        </w:rPr>
        <w:t>W celu wypełnienia tabel i wzorów zamieszczonych w załączniku XXV do rozwiązań informatycznych EUNB instytucje ujawniają informacje, o których mowa w art. 439 rozporządzenia (UE) nr 575/2013, dotyczące ich ekspozycji na ryzyko kredytowe kontrahenta, o którym mowa w części trzeciej tytuł II rozdział 6 rozporządzenia (UE) nr 575/2013</w:t>
      </w:r>
      <w:r w:rsidRPr="00396116">
        <w:rPr>
          <w:rStyle w:val="FootnoteReference"/>
          <w:color w:val="auto"/>
        </w:rPr>
        <w:footnoteReference w:id="1"/>
      </w:r>
      <w:r w:rsidRPr="00396116">
        <w:rPr>
          <w:rFonts w:ascii="Times New Roman" w:hAnsi="Times New Roman"/>
          <w:color w:val="auto"/>
          <w:sz w:val="24"/>
        </w:rPr>
        <w:t xml:space="preserve"> („CRR”), stosując instrukcje zawarte w niniejszym załączniku. </w:t>
      </w:r>
    </w:p>
    <w:p w14:paraId="495AC274" w14:textId="77777777" w:rsidR="00F43911" w:rsidRPr="00396116" w:rsidRDefault="00F43911" w:rsidP="00F43911">
      <w:pPr>
        <w:pStyle w:val="Titlelevel2"/>
        <w:spacing w:before="0"/>
        <w:rPr>
          <w:rFonts w:ascii="Times New Roman" w:eastAsiaTheme="minorEastAsia" w:hAnsi="Times New Roman" w:cs="Times New Roman"/>
          <w:bCs w:val="0"/>
          <w:color w:val="000000"/>
          <w:sz w:val="24"/>
        </w:rPr>
      </w:pPr>
      <w:r w:rsidRPr="00396116">
        <w:rPr>
          <w:rFonts w:ascii="Times New Roman" w:hAnsi="Times New Roman"/>
          <w:b/>
          <w:color w:val="auto"/>
          <w:sz w:val="24"/>
        </w:rPr>
        <w:t>Tabela EU CCRA – Ujawnianie informacji jakościowych dotyczących ryzyka kredytowego kontrahenta (CCR):</w:t>
      </w:r>
      <w:r w:rsidRPr="00396116">
        <w:rPr>
          <w:rFonts w:ascii="Times New Roman" w:hAnsi="Times New Roman"/>
          <w:sz w:val="24"/>
        </w:rPr>
        <w:t xml:space="preserve"> </w:t>
      </w:r>
      <w:r w:rsidRPr="00396116">
        <w:rPr>
          <w:rFonts w:ascii="Times New Roman" w:hAnsi="Times New Roman"/>
          <w:color w:val="000000"/>
          <w:sz w:val="24"/>
        </w:rPr>
        <w:t xml:space="preserve">Pola na tekst o formacie dowolnym </w:t>
      </w:r>
    </w:p>
    <w:p w14:paraId="39E2C005" w14:textId="60AA582D" w:rsidR="00F43911" w:rsidRPr="00396116" w:rsidRDefault="00F43911" w:rsidP="00F43911">
      <w:pPr>
        <w:pStyle w:val="Titlelevel2"/>
        <w:numPr>
          <w:ilvl w:val="0"/>
          <w:numId w:val="2"/>
        </w:numPr>
        <w:spacing w:before="0"/>
        <w:jc w:val="both"/>
        <w:rPr>
          <w:rFonts w:ascii="Times New Roman" w:hAnsi="Times New Roman" w:cs="Times New Roman"/>
          <w:sz w:val="24"/>
        </w:rPr>
      </w:pPr>
      <w:r w:rsidRPr="00396116">
        <w:rPr>
          <w:rFonts w:ascii="Times New Roman" w:hAnsi="Times New Roman"/>
          <w:color w:val="auto"/>
          <w:sz w:val="24"/>
        </w:rPr>
        <w:t xml:space="preserve">W celu wypełnienia tabeli </w:t>
      </w:r>
      <w:r w:rsidRPr="00396116">
        <w:rPr>
          <w:rFonts w:ascii="Times New Roman" w:hAnsi="Times New Roman"/>
          <w:color w:val="000000"/>
          <w:sz w:val="24"/>
        </w:rPr>
        <w:t>EU CCRA zamieszczonej w załączniku XXV do rozwiązań informatycznych EUNB instytucje ujawniają informacje</w:t>
      </w:r>
      <w:r w:rsidRPr="00396116">
        <w:rPr>
          <w:rFonts w:ascii="Times New Roman" w:hAnsi="Times New Roman"/>
          <w:color w:val="auto"/>
          <w:sz w:val="24"/>
        </w:rPr>
        <w:t>, o których mowa w art. 439 lit. a)–d) rozporządzenia (UE) nr 575/2013</w:t>
      </w:r>
      <w:r w:rsidRPr="00396116">
        <w:rPr>
          <w:rFonts w:ascii="Times New Roman" w:hAnsi="Times New Roman"/>
          <w:color w:val="000000"/>
          <w:sz w:val="24"/>
        </w:rPr>
        <w:t>, zgodnie z poniższymi instrukcjami zawartymi w niniejszym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396116"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396116" w:rsidRDefault="00F43911" w:rsidP="004F3087">
            <w:pPr>
              <w:spacing w:after="240"/>
              <w:rPr>
                <w:rFonts w:ascii="Times New Roman" w:hAnsi="Times New Roman" w:cs="Times New Roman"/>
                <w:b/>
                <w:sz w:val="24"/>
              </w:rPr>
            </w:pPr>
            <w:r w:rsidRPr="00396116">
              <w:rPr>
                <w:rFonts w:ascii="Times New Roman" w:hAnsi="Times New Roman"/>
                <w:b/>
                <w:sz w:val="24"/>
              </w:rPr>
              <w:t>Odniesienia prawne i instrukcje</w:t>
            </w:r>
          </w:p>
        </w:tc>
      </w:tr>
      <w:tr w:rsidR="00F43911" w:rsidRPr="00396116" w14:paraId="4303C7D7" w14:textId="77777777" w:rsidTr="004F3087">
        <w:trPr>
          <w:trHeight w:val="238"/>
        </w:trPr>
        <w:tc>
          <w:tcPr>
            <w:tcW w:w="1384" w:type="dxa"/>
            <w:shd w:val="clear" w:color="auto" w:fill="D9D9D9" w:themeFill="background1" w:themeFillShade="D9"/>
          </w:tcPr>
          <w:p w14:paraId="1199DCAD" w14:textId="5D58E7EE" w:rsidR="00F43911" w:rsidRPr="00396116" w:rsidRDefault="00365E5D" w:rsidP="004F3087">
            <w:pPr>
              <w:autoSpaceDE w:val="0"/>
              <w:autoSpaceDN w:val="0"/>
              <w:adjustRightInd w:val="0"/>
              <w:spacing w:after="240"/>
              <w:rPr>
                <w:rFonts w:ascii="Times New Roman" w:hAnsi="Times New Roman" w:cs="Times New Roman"/>
                <w:b/>
                <w:sz w:val="24"/>
              </w:rPr>
            </w:pPr>
            <w:r w:rsidRPr="00396116">
              <w:rPr>
                <w:rFonts w:ascii="Times New Roman" w:hAnsi="Times New Roman"/>
                <w:b/>
                <w:sz w:val="24"/>
              </w:rPr>
              <w:t>Oznaczenie wiersza</w:t>
            </w:r>
          </w:p>
        </w:tc>
        <w:tc>
          <w:tcPr>
            <w:tcW w:w="7655" w:type="dxa"/>
            <w:shd w:val="clear" w:color="auto" w:fill="D9D9D9" w:themeFill="background1" w:themeFillShade="D9"/>
          </w:tcPr>
          <w:p w14:paraId="56B3990F" w14:textId="77777777" w:rsidR="00F43911" w:rsidRPr="00396116" w:rsidRDefault="00F43911" w:rsidP="004F3087">
            <w:pPr>
              <w:autoSpaceDE w:val="0"/>
              <w:autoSpaceDN w:val="0"/>
              <w:adjustRightInd w:val="0"/>
              <w:spacing w:after="240"/>
              <w:rPr>
                <w:rFonts w:ascii="Times New Roman" w:hAnsi="Times New Roman" w:cs="Times New Roman"/>
                <w:color w:val="000000"/>
                <w:sz w:val="24"/>
              </w:rPr>
            </w:pPr>
            <w:r w:rsidRPr="00396116">
              <w:rPr>
                <w:rFonts w:ascii="Times New Roman" w:hAnsi="Times New Roman"/>
                <w:b/>
                <w:sz w:val="24"/>
              </w:rPr>
              <w:t>Wyjaśnienie</w:t>
            </w:r>
          </w:p>
        </w:tc>
      </w:tr>
      <w:tr w:rsidR="00F43911" w:rsidRPr="00396116" w14:paraId="090E4832" w14:textId="77777777" w:rsidTr="004F3087">
        <w:trPr>
          <w:trHeight w:val="680"/>
        </w:trPr>
        <w:tc>
          <w:tcPr>
            <w:tcW w:w="1384" w:type="dxa"/>
          </w:tcPr>
          <w:p w14:paraId="03165275" w14:textId="77777777" w:rsidR="00F43911" w:rsidRPr="00396116" w:rsidRDefault="00F43911" w:rsidP="004F3087">
            <w:pPr>
              <w:pStyle w:val="Applicationdirecte"/>
              <w:spacing w:before="0" w:after="240"/>
              <w:jc w:val="center"/>
            </w:pPr>
            <w:r w:rsidRPr="00396116">
              <w:t>a)</w:t>
            </w:r>
          </w:p>
        </w:tc>
        <w:tc>
          <w:tcPr>
            <w:tcW w:w="7655" w:type="dxa"/>
            <w:vAlign w:val="center"/>
          </w:tcPr>
          <w:p w14:paraId="0A6613B2" w14:textId="69564A45"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Przy ujawnianiu informacji wymaganych zgodnie z art. 439 lit. a) rozporządzenia (UE) nr 575/2013 instytucje zamieszczają opis metod stosowanych do przypisywania kapitału wewnętrznego i limitów kredytowych do ekspozycji na ryzyko kredytowe kontrahenta, w tym metody stosowane do przypisywania tych limitów do ekspozycji wobec kontrahentów centralnych.</w:t>
            </w:r>
          </w:p>
        </w:tc>
      </w:tr>
      <w:tr w:rsidR="00F43911" w:rsidRPr="00396116" w14:paraId="5C895156" w14:textId="77777777" w:rsidTr="004F3087">
        <w:trPr>
          <w:trHeight w:val="680"/>
        </w:trPr>
        <w:tc>
          <w:tcPr>
            <w:tcW w:w="1384" w:type="dxa"/>
          </w:tcPr>
          <w:p w14:paraId="03F456F0" w14:textId="77777777" w:rsidR="00F43911" w:rsidRPr="00396116" w:rsidRDefault="00F43911" w:rsidP="004F3087">
            <w:pPr>
              <w:pStyle w:val="Applicationdirecte"/>
              <w:spacing w:before="0" w:after="240"/>
              <w:jc w:val="center"/>
            </w:pPr>
            <w:r w:rsidRPr="00396116">
              <w:t>b)</w:t>
            </w:r>
          </w:p>
        </w:tc>
        <w:tc>
          <w:tcPr>
            <w:tcW w:w="7655" w:type="dxa"/>
          </w:tcPr>
          <w:p w14:paraId="4FB7E2EC" w14:textId="2E6C1B13" w:rsidR="00F43911" w:rsidRPr="00396116" w:rsidRDefault="00F43911" w:rsidP="004F3087">
            <w:pPr>
              <w:spacing w:after="240"/>
              <w:jc w:val="both"/>
              <w:rPr>
                <w:rFonts w:ascii="Times New Roman" w:eastAsia="Times New Roman" w:hAnsi="Times New Roman" w:cs="Times New Roman"/>
                <w:sz w:val="24"/>
              </w:rPr>
            </w:pPr>
            <w:r w:rsidRPr="00396116">
              <w:rPr>
                <w:rFonts w:ascii="Times New Roman" w:hAnsi="Times New Roman"/>
                <w:sz w:val="24"/>
              </w:rPr>
              <w:t xml:space="preserve">Przy ujawnianiu informacji wymaganych zgodnie z art. 439 lit. b) rozporządzenia (UE) nr 575/2013 instytucje zamieszczają </w:t>
            </w:r>
            <w:r w:rsidRPr="00396116">
              <w:rPr>
                <w:rFonts w:ascii="Times New Roman" w:hAnsi="Times New Roman"/>
                <w:color w:val="000000"/>
                <w:sz w:val="24"/>
              </w:rPr>
              <w:t>opis strategii dotyczących gwarancji i innych czynników łagodzących ryzyko kredytowe, takich jak strategii ustanawiania zabezpieczenia i ustalania rezerw kredytowych.</w:t>
            </w:r>
          </w:p>
        </w:tc>
      </w:tr>
      <w:tr w:rsidR="00F43911" w:rsidRPr="00396116" w14:paraId="0916C922" w14:textId="77777777" w:rsidTr="004F3087">
        <w:trPr>
          <w:trHeight w:val="436"/>
        </w:trPr>
        <w:tc>
          <w:tcPr>
            <w:tcW w:w="1384" w:type="dxa"/>
          </w:tcPr>
          <w:p w14:paraId="1B024A74" w14:textId="77777777" w:rsidR="00F43911" w:rsidRPr="00396116" w:rsidRDefault="00F43911" w:rsidP="004F3087">
            <w:pPr>
              <w:pStyle w:val="Applicationdirecte"/>
              <w:spacing w:before="0" w:after="240"/>
              <w:jc w:val="center"/>
            </w:pPr>
            <w:r w:rsidRPr="00396116">
              <w:t>c)</w:t>
            </w:r>
          </w:p>
        </w:tc>
        <w:tc>
          <w:tcPr>
            <w:tcW w:w="7655" w:type="dxa"/>
          </w:tcPr>
          <w:p w14:paraId="41EF016F" w14:textId="29B7C31D" w:rsidR="00F43911" w:rsidRPr="00396116" w:rsidRDefault="00F43911" w:rsidP="004F3087">
            <w:pPr>
              <w:spacing w:after="240"/>
              <w:jc w:val="both"/>
              <w:rPr>
                <w:rFonts w:ascii="Times New Roman" w:eastAsia="Times New Roman" w:hAnsi="Times New Roman" w:cs="Times New Roman"/>
                <w:sz w:val="24"/>
              </w:rPr>
            </w:pPr>
            <w:r w:rsidRPr="00396116">
              <w:rPr>
                <w:rFonts w:ascii="Times New Roman" w:hAnsi="Times New Roman"/>
                <w:sz w:val="24"/>
              </w:rPr>
              <w:t xml:space="preserve">Przy ujawnianiu informacji wymaganych zgodnie z art. 439 lit. c) rozporządzenia (UE) nr 575/2013 instytucje zamieszczają </w:t>
            </w:r>
            <w:r w:rsidRPr="00396116">
              <w:rPr>
                <w:rFonts w:ascii="Times New Roman" w:hAnsi="Times New Roman"/>
                <w:color w:val="000000"/>
                <w:sz w:val="24"/>
              </w:rPr>
              <w:t>o</w:t>
            </w:r>
            <w:r w:rsidRPr="00396116">
              <w:rPr>
                <w:rFonts w:ascii="Times New Roman" w:hAnsi="Times New Roman"/>
                <w:sz w:val="24"/>
              </w:rPr>
              <w:t>pis strategii dotyczących ryzyka korelacji określonego w art. 291 rozporządzenia (UE) nr 575/2013.</w:t>
            </w:r>
          </w:p>
        </w:tc>
      </w:tr>
      <w:tr w:rsidR="00F43911" w:rsidRPr="00396116" w14:paraId="111B3E08" w14:textId="77777777" w:rsidTr="004F3087">
        <w:trPr>
          <w:trHeight w:val="557"/>
        </w:trPr>
        <w:tc>
          <w:tcPr>
            <w:tcW w:w="1384" w:type="dxa"/>
          </w:tcPr>
          <w:p w14:paraId="4A2ECD9B" w14:textId="77777777" w:rsidR="00F43911" w:rsidRPr="00396116" w:rsidRDefault="00F43911" w:rsidP="004F3087">
            <w:pPr>
              <w:pStyle w:val="Applicationdirecte"/>
              <w:spacing w:before="0" w:after="240"/>
              <w:jc w:val="center"/>
            </w:pPr>
            <w:r w:rsidRPr="00396116">
              <w:t>d)</w:t>
            </w:r>
          </w:p>
        </w:tc>
        <w:tc>
          <w:tcPr>
            <w:tcW w:w="7655" w:type="dxa"/>
          </w:tcPr>
          <w:p w14:paraId="00928C41" w14:textId="09C5003D" w:rsidR="00F43911" w:rsidRPr="00396116" w:rsidRDefault="00F43911" w:rsidP="004F3087">
            <w:pPr>
              <w:spacing w:after="240"/>
              <w:jc w:val="both"/>
              <w:rPr>
                <w:rFonts w:ascii="Times New Roman" w:hAnsi="Times New Roman" w:cs="Times New Roman"/>
                <w:color w:val="000000"/>
                <w:sz w:val="24"/>
              </w:rPr>
            </w:pPr>
            <w:r w:rsidRPr="00396116">
              <w:rPr>
                <w:rFonts w:ascii="Times New Roman" w:hAnsi="Times New Roman"/>
                <w:sz w:val="24"/>
              </w:rPr>
              <w:t>Zgodnie z art. 431 ust. 3 i 4 rozporządzenia (UE) nr 575/2013 instytucje uzupełniają powyższe informacje informacjami na temat wszelkich innych celów w zakresie zarządzania ryzykiem oraz odpowiednich strategii powiązanych z ryzykiem kredytowym kontrahenta.</w:t>
            </w:r>
          </w:p>
        </w:tc>
      </w:tr>
      <w:tr w:rsidR="00F43911" w:rsidRPr="00396116" w14:paraId="54F07496" w14:textId="77777777" w:rsidTr="004F3087">
        <w:trPr>
          <w:trHeight w:val="557"/>
        </w:trPr>
        <w:tc>
          <w:tcPr>
            <w:tcW w:w="1384" w:type="dxa"/>
          </w:tcPr>
          <w:p w14:paraId="5D277706" w14:textId="77777777" w:rsidR="00F43911" w:rsidRPr="00396116" w:rsidRDefault="00F43911" w:rsidP="004F3087">
            <w:pPr>
              <w:pStyle w:val="Applicationdirecte"/>
              <w:spacing w:before="0" w:after="240"/>
              <w:jc w:val="center"/>
            </w:pPr>
            <w:r w:rsidRPr="00396116">
              <w:t>e)</w:t>
            </w:r>
          </w:p>
        </w:tc>
        <w:tc>
          <w:tcPr>
            <w:tcW w:w="7655" w:type="dxa"/>
          </w:tcPr>
          <w:p w14:paraId="4E0DF669" w14:textId="65A6C953" w:rsidR="00F43911" w:rsidRPr="00396116" w:rsidRDefault="00F43911" w:rsidP="004F3087">
            <w:pPr>
              <w:spacing w:after="240"/>
              <w:jc w:val="both"/>
              <w:rPr>
                <w:rFonts w:ascii="Times New Roman" w:hAnsi="Times New Roman" w:cs="Times New Roman"/>
                <w:color w:val="000000"/>
                <w:sz w:val="24"/>
              </w:rPr>
            </w:pPr>
            <w:r w:rsidRPr="00396116">
              <w:rPr>
                <w:rFonts w:ascii="Times New Roman" w:hAnsi="Times New Roman"/>
                <w:sz w:val="24"/>
              </w:rPr>
              <w:t xml:space="preserve">Przy ujawnianiu informacji wymaganych zgodnie z art. 439 lit. d) rozporządzenia (UE) nr 575/2013 instytucje przedstawiają kwotę </w:t>
            </w:r>
            <w:r w:rsidRPr="00396116">
              <w:rPr>
                <w:rFonts w:ascii="Times New Roman" w:hAnsi="Times New Roman"/>
                <w:sz w:val="24"/>
              </w:rPr>
              <w:lastRenderedPageBreak/>
              <w:t>zabezpieczenia, jakie instytucje musiałyby zapewnić przy obniżeniu oceny ich wiarygodności kredytowej.</w:t>
            </w:r>
            <w:r w:rsidRPr="00396116">
              <w:rPr>
                <w:rFonts w:ascii="Times New Roman" w:hAnsi="Times New Roman"/>
                <w:color w:val="000000"/>
                <w:sz w:val="24"/>
              </w:rPr>
              <w:t xml:space="preserve"> </w:t>
            </w:r>
          </w:p>
          <w:p w14:paraId="08B2F868" w14:textId="77777777" w:rsidR="00F43911" w:rsidRPr="00396116" w:rsidRDefault="00F43911" w:rsidP="004F3087">
            <w:pPr>
              <w:spacing w:after="240"/>
              <w:jc w:val="both"/>
              <w:rPr>
                <w:rFonts w:ascii="Times New Roman" w:eastAsia="Times New Roman" w:hAnsi="Times New Roman" w:cs="Times New Roman"/>
                <w:sz w:val="24"/>
              </w:rPr>
            </w:pPr>
            <w:r w:rsidRPr="00396116">
              <w:rPr>
                <w:rFonts w:ascii="Times New Roman" w:hAnsi="Times New Roman"/>
                <w:color w:val="000000"/>
                <w:sz w:val="24"/>
              </w:rPr>
              <w:t>Jeżeli bank centralny państwa członkowskiego zobowiązał się do udzielenia wsparcia płynnościowego w formie transakcji zabezpieczających swap, właściwy organ może zwolnić instytucje z obowiązku przekazania takich informacji, jeżeli uzna, że ich ujawnienie mogłoby doprowadzić do upublicznienia faktu, że dana instytucja korzysta z awaryjnego wsparcia płynnościowego. W tym celu właściwy organ ustanawia odpowiednie progi i obiektywne kryteria.</w:t>
            </w:r>
          </w:p>
        </w:tc>
      </w:tr>
    </w:tbl>
    <w:p w14:paraId="27B59149" w14:textId="77777777" w:rsidR="00F43911" w:rsidRPr="00396116" w:rsidRDefault="00F43911" w:rsidP="00F43911">
      <w:pPr>
        <w:pStyle w:val="Titlelevel2"/>
        <w:spacing w:before="0"/>
        <w:rPr>
          <w:rFonts w:ascii="Times New Roman" w:hAnsi="Times New Roman" w:cs="Times New Roman"/>
          <w:b/>
          <w:color w:val="auto"/>
          <w:sz w:val="24"/>
        </w:rPr>
      </w:pPr>
    </w:p>
    <w:p w14:paraId="7B935B7B" w14:textId="77777777" w:rsidR="00F43911" w:rsidRPr="00396116" w:rsidRDefault="00F43911" w:rsidP="00F43911">
      <w:pPr>
        <w:pStyle w:val="Titlelevel2"/>
        <w:spacing w:before="0"/>
        <w:rPr>
          <w:rFonts w:ascii="Times New Roman" w:hAnsi="Times New Roman" w:cs="Times New Roman"/>
          <w:color w:val="auto"/>
          <w:sz w:val="24"/>
        </w:rPr>
      </w:pPr>
      <w:r w:rsidRPr="00396116">
        <w:rPr>
          <w:rFonts w:ascii="Times New Roman" w:hAnsi="Times New Roman"/>
          <w:b/>
          <w:color w:val="auto"/>
          <w:sz w:val="24"/>
        </w:rPr>
        <w:t xml:space="preserve">Wzór EU CCR1 – Analiza ekspozycji na ryzyko kredytowe kontrahenta (CCR) według metody </w:t>
      </w:r>
      <w:r w:rsidRPr="00396116">
        <w:rPr>
          <w:rFonts w:ascii="Times New Roman" w:hAnsi="Times New Roman"/>
          <w:color w:val="auto"/>
          <w:sz w:val="24"/>
        </w:rPr>
        <w:t>Format stały</w:t>
      </w:r>
    </w:p>
    <w:p w14:paraId="5F298634" w14:textId="50AAEB3C" w:rsidR="00F43911" w:rsidRPr="00396116"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396116">
        <w:rPr>
          <w:rFonts w:ascii="Times New Roman" w:hAnsi="Times New Roman"/>
          <w:color w:val="000000"/>
          <w:sz w:val="24"/>
        </w:rPr>
        <w:t>W celu wypełnienia wzoru EU CCR1 zamieszczonego w załączniku XXV do rozwiązań informatycznych EUNB instytucje ujawniają informacje, o których mowa w art. 439 lit. f), g) i k) rozporządzenia (UE) nr 575/2013, zgodnie z poniższymi instrukcjami zawartymi w niniejszym załączniku.</w:t>
      </w:r>
    </w:p>
    <w:p w14:paraId="570E50EE" w14:textId="6EAB5FC6" w:rsidR="00F43911" w:rsidRPr="00396116" w:rsidRDefault="00F43911" w:rsidP="00F43911">
      <w:pPr>
        <w:pStyle w:val="Titlelevel2"/>
        <w:numPr>
          <w:ilvl w:val="0"/>
          <w:numId w:val="2"/>
        </w:numPr>
        <w:spacing w:before="0"/>
        <w:jc w:val="both"/>
        <w:rPr>
          <w:rFonts w:ascii="Times New Roman" w:hAnsi="Times New Roman" w:cs="Times New Roman"/>
          <w:color w:val="auto"/>
          <w:sz w:val="24"/>
        </w:rPr>
      </w:pPr>
      <w:r w:rsidRPr="00396116">
        <w:rPr>
          <w:rFonts w:ascii="Times New Roman" w:hAnsi="Times New Roman"/>
          <w:color w:val="000000"/>
          <w:sz w:val="24"/>
        </w:rPr>
        <w:t>Z obliczeń przeprowadzanych na potrzeby tego wzoru wyłączono wymogi w zakresie funduszy własnych z tytułu ryzyka związanego z korektą wyceny kredytowej (część trzecia tytuł VI rozporządzenia (UE) nr 575/2013) oraz ekspozycje wobec kontrahenta centralnego (część trzecia tytuł II rozdział 6 sekcja 9 rozporządzenia (UE) nr 575/2013) zdefiniowane na potrzeby wzoru EU CCR8.</w:t>
      </w:r>
      <w:r w:rsidRPr="00396116">
        <w:t xml:space="preserve"> </w:t>
      </w:r>
      <w:r w:rsidRPr="00396116">
        <w:rPr>
          <w:rFonts w:ascii="Times New Roman" w:hAnsi="Times New Roman"/>
          <w:color w:val="000000"/>
          <w:sz w:val="24"/>
        </w:rPr>
        <w:t>W przypadku transakcji finansowanych z użyciem papierów wartościowych obliczenia obejmują wartości ekspozycji przed wystąpieniem skutku ograniczenia ryzyka kredytowego i po wystąpieniu tego skutku, ustalone zgodnie z metodami określonymi w części trzeciej tytuł II rozdział 4 i 6 rozporządzenia (UE) nr 575/2013, w zależności od zastosowanej metody, zgodnie z art. 439 lit. g) rozporządzenia (UE) nr 575/2013, oraz powiązane kwoty ekspozycji na ryzyko w podziale na mające zastosowanie metody.</w:t>
      </w:r>
    </w:p>
    <w:p w14:paraId="5B43A4B5" w14:textId="294B364B" w:rsidR="00F43911" w:rsidRPr="00396116" w:rsidRDefault="00F43911" w:rsidP="00F43911">
      <w:pPr>
        <w:pStyle w:val="Titlelevel2"/>
        <w:numPr>
          <w:ilvl w:val="0"/>
          <w:numId w:val="2"/>
        </w:numPr>
        <w:spacing w:before="0"/>
        <w:jc w:val="both"/>
        <w:rPr>
          <w:rFonts w:ascii="Times New Roman" w:hAnsi="Times New Roman" w:cs="Times New Roman"/>
          <w:color w:val="auto"/>
          <w:sz w:val="24"/>
        </w:rPr>
      </w:pPr>
      <w:r w:rsidRPr="00396116">
        <w:rPr>
          <w:rFonts w:ascii="Times New Roman" w:hAnsi="Times New Roman"/>
          <w:color w:val="auto"/>
          <w:sz w:val="24"/>
        </w:rPr>
        <w:t>Instytucje stosujące metody określone w części trzeciej tytuł II rozdział 6 sekcje 4–5 rozporządzenia (UE) nr 575/2013 wskazują w opisie towarzyszącym wzorowi wielkość ich działalności bilansowej i pozabilansowej dotyczącej instrumentów pochodnych obliczoną zgodnie z art. 273a ust. 1 lub 2 rozporządzenia (UE) nr 575/2013, w stosownych przypadkach, w zastosowaniu art. 439 lit. m) rozporządzenia (UE) nr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396116"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396116" w:rsidRDefault="00F43911" w:rsidP="004F3087">
            <w:pPr>
              <w:spacing w:after="240"/>
              <w:rPr>
                <w:rFonts w:ascii="Times New Roman" w:hAnsi="Times New Roman" w:cs="Times New Roman"/>
                <w:b/>
                <w:sz w:val="24"/>
              </w:rPr>
            </w:pPr>
            <w:r w:rsidRPr="00396116">
              <w:rPr>
                <w:rFonts w:ascii="Times New Roman" w:hAnsi="Times New Roman"/>
                <w:b/>
                <w:sz w:val="24"/>
              </w:rPr>
              <w:t>Odniesienia prawne i instrukcje</w:t>
            </w:r>
          </w:p>
        </w:tc>
      </w:tr>
      <w:tr w:rsidR="00F43911" w:rsidRPr="00396116" w14:paraId="44A608CD" w14:textId="77777777" w:rsidTr="004F3087">
        <w:trPr>
          <w:trHeight w:val="238"/>
        </w:trPr>
        <w:tc>
          <w:tcPr>
            <w:tcW w:w="1384" w:type="dxa"/>
            <w:shd w:val="clear" w:color="auto" w:fill="D9D9D9" w:themeFill="background1" w:themeFillShade="D9"/>
          </w:tcPr>
          <w:p w14:paraId="141AE583" w14:textId="1EE53D47" w:rsidR="00F43911" w:rsidRPr="00396116" w:rsidRDefault="00365E5D" w:rsidP="004F3087">
            <w:pPr>
              <w:autoSpaceDE w:val="0"/>
              <w:autoSpaceDN w:val="0"/>
              <w:adjustRightInd w:val="0"/>
              <w:spacing w:after="240"/>
              <w:jc w:val="center"/>
              <w:rPr>
                <w:rFonts w:ascii="Times New Roman" w:hAnsi="Times New Roman" w:cs="Times New Roman"/>
                <w:b/>
                <w:sz w:val="24"/>
              </w:rPr>
            </w:pPr>
            <w:r w:rsidRPr="00396116">
              <w:rPr>
                <w:rFonts w:ascii="Times New Roman" w:hAnsi="Times New Roman"/>
                <w:b/>
                <w:sz w:val="24"/>
              </w:rPr>
              <w:t>Oznaczenie wiersza</w:t>
            </w:r>
          </w:p>
        </w:tc>
        <w:tc>
          <w:tcPr>
            <w:tcW w:w="7655" w:type="dxa"/>
            <w:shd w:val="clear" w:color="auto" w:fill="D9D9D9" w:themeFill="background1" w:themeFillShade="D9"/>
          </w:tcPr>
          <w:p w14:paraId="66E39A5E" w14:textId="77777777" w:rsidR="00F43911" w:rsidRPr="00396116" w:rsidRDefault="00F43911" w:rsidP="004F3087">
            <w:pPr>
              <w:autoSpaceDE w:val="0"/>
              <w:autoSpaceDN w:val="0"/>
              <w:adjustRightInd w:val="0"/>
              <w:spacing w:after="240"/>
              <w:rPr>
                <w:rFonts w:ascii="Times New Roman" w:hAnsi="Times New Roman" w:cs="Times New Roman"/>
                <w:color w:val="000000"/>
                <w:sz w:val="24"/>
              </w:rPr>
            </w:pPr>
            <w:r w:rsidRPr="00396116">
              <w:rPr>
                <w:rFonts w:ascii="Times New Roman" w:hAnsi="Times New Roman"/>
                <w:b/>
                <w:sz w:val="24"/>
              </w:rPr>
              <w:t>Wyjaśnienie</w:t>
            </w:r>
          </w:p>
        </w:tc>
      </w:tr>
      <w:tr w:rsidR="00F43911" w:rsidRPr="00396116" w14:paraId="12C559C4" w14:textId="77777777" w:rsidTr="004F3087">
        <w:trPr>
          <w:trHeight w:val="680"/>
        </w:trPr>
        <w:tc>
          <w:tcPr>
            <w:tcW w:w="1384" w:type="dxa"/>
          </w:tcPr>
          <w:p w14:paraId="30AC7598" w14:textId="77777777" w:rsidR="00F43911" w:rsidRPr="00396116" w:rsidRDefault="00F43911" w:rsidP="004F3087">
            <w:pPr>
              <w:pStyle w:val="Applicationdirecte"/>
              <w:spacing w:before="0" w:after="240"/>
              <w:jc w:val="center"/>
            </w:pPr>
            <w:r w:rsidRPr="00396116">
              <w:t>EU-1</w:t>
            </w:r>
          </w:p>
        </w:tc>
        <w:tc>
          <w:tcPr>
            <w:tcW w:w="7655" w:type="dxa"/>
          </w:tcPr>
          <w:p w14:paraId="632808E1" w14:textId="77777777" w:rsidR="00F43911" w:rsidRPr="00396116" w:rsidRDefault="00F43911" w:rsidP="004F3087">
            <w:pPr>
              <w:pStyle w:val="TableMainHeading"/>
              <w:spacing w:before="0" w:after="240"/>
              <w:jc w:val="both"/>
              <w:rPr>
                <w:rFonts w:ascii="Times New Roman" w:hAnsi="Times New Roman"/>
                <w:b/>
                <w:sz w:val="24"/>
                <w:szCs w:val="24"/>
              </w:rPr>
            </w:pPr>
            <w:r w:rsidRPr="00396116">
              <w:rPr>
                <w:rFonts w:ascii="Times New Roman" w:hAnsi="Times New Roman"/>
                <w:b/>
                <w:sz w:val="24"/>
              </w:rPr>
              <w:t>Metoda wyceny pierwotnej ekspozycji (w odniesieniu do instrumentów pochodnych)</w:t>
            </w:r>
          </w:p>
          <w:p w14:paraId="11E99694" w14:textId="456EAC3E" w:rsidR="00F43911" w:rsidRPr="00396116" w:rsidRDefault="00F43911" w:rsidP="004F3087">
            <w:pPr>
              <w:pStyle w:val="TableMainHeading"/>
              <w:spacing w:before="0" w:after="240"/>
              <w:jc w:val="both"/>
              <w:rPr>
                <w:rFonts w:ascii="Times New Roman" w:hAnsi="Times New Roman"/>
                <w:sz w:val="24"/>
                <w:szCs w:val="24"/>
              </w:rPr>
            </w:pPr>
            <w:r w:rsidRPr="00396116">
              <w:rPr>
                <w:rFonts w:ascii="Times New Roman" w:hAnsi="Times New Roman"/>
                <w:sz w:val="24"/>
              </w:rPr>
              <w:t xml:space="preserve">Instrumenty pochodne oraz transakcje z długim terminem rozliczenia, dla których instytucje zdecydowały się obliczyć wartość ekspozycji jako </w:t>
            </w:r>
            <w:r w:rsidRPr="00396116">
              <w:rPr>
                <w:rFonts w:ascii="Times New Roman" w:hAnsi="Times New Roman"/>
                <w:sz w:val="24"/>
              </w:rPr>
              <w:lastRenderedPageBreak/>
              <w:t>alfa*(RC+PFE), przy czym α=1,4, a RC i PFE oblicza się zgodnie z częścią trzecią tytuł II rozdział 6 sekcja 5 art. 282 rozporządzenia (UE) nr 575/2013.</w:t>
            </w:r>
          </w:p>
          <w:p w14:paraId="49426263" w14:textId="41D2ADED" w:rsidR="00F43911" w:rsidRPr="00396116" w:rsidRDefault="00F43911" w:rsidP="004F3087">
            <w:pPr>
              <w:pStyle w:val="TableMainHeading"/>
              <w:spacing w:before="0" w:after="240"/>
              <w:jc w:val="both"/>
              <w:rPr>
                <w:rFonts w:ascii="Times New Roman" w:hAnsi="Times New Roman"/>
                <w:sz w:val="24"/>
                <w:szCs w:val="24"/>
              </w:rPr>
            </w:pPr>
            <w:r w:rsidRPr="00396116">
              <w:rPr>
                <w:rFonts w:ascii="Times New Roman" w:hAnsi="Times New Roman"/>
                <w:sz w:val="24"/>
              </w:rPr>
              <w:t>Tę uproszczoną metodę obliczania wartości ekspozycji z tytułu pozycji w instrumentach pochodnych mogą stosować wyłącznie instytucje spełniające</w:t>
            </w:r>
            <w:r w:rsidRPr="00396116">
              <w:rPr>
                <w:rFonts w:ascii="Times New Roman" w:hAnsi="Times New Roman"/>
                <w:i/>
                <w:sz w:val="24"/>
              </w:rPr>
              <w:t xml:space="preserve"> </w:t>
            </w:r>
            <w:r w:rsidRPr="00396116">
              <w:rPr>
                <w:rFonts w:ascii="Times New Roman" w:hAnsi="Times New Roman"/>
                <w:sz w:val="24"/>
              </w:rPr>
              <w:t>warunki określone w części trzeciej tytuł II rozdział 6 art. 273a ust. 2 lub 4 rozporządzenia (UE) nr 575/2013.</w:t>
            </w:r>
          </w:p>
        </w:tc>
      </w:tr>
      <w:tr w:rsidR="00F43911" w:rsidRPr="00396116" w14:paraId="554E3BC9" w14:textId="77777777" w:rsidTr="004F3087">
        <w:trPr>
          <w:trHeight w:val="680"/>
        </w:trPr>
        <w:tc>
          <w:tcPr>
            <w:tcW w:w="1384" w:type="dxa"/>
          </w:tcPr>
          <w:p w14:paraId="381179F6" w14:textId="77777777" w:rsidR="00F43911" w:rsidRPr="00396116" w:rsidRDefault="00F43911" w:rsidP="004F3087">
            <w:pPr>
              <w:pStyle w:val="Applicationdirecte"/>
              <w:spacing w:before="0" w:after="240"/>
              <w:jc w:val="center"/>
            </w:pPr>
            <w:r w:rsidRPr="00396116">
              <w:lastRenderedPageBreak/>
              <w:t>EU-2</w:t>
            </w:r>
          </w:p>
        </w:tc>
        <w:tc>
          <w:tcPr>
            <w:tcW w:w="7655" w:type="dxa"/>
          </w:tcPr>
          <w:p w14:paraId="1180B055" w14:textId="77777777" w:rsidR="00F43911" w:rsidRPr="00396116" w:rsidRDefault="00F43911" w:rsidP="004F3087">
            <w:pPr>
              <w:pStyle w:val="TableMainHeading"/>
              <w:spacing w:before="0" w:after="240"/>
              <w:jc w:val="both"/>
              <w:rPr>
                <w:rFonts w:ascii="Times New Roman" w:hAnsi="Times New Roman"/>
                <w:b/>
                <w:sz w:val="24"/>
                <w:szCs w:val="24"/>
              </w:rPr>
            </w:pPr>
            <w:r w:rsidRPr="00396116">
              <w:rPr>
                <w:rFonts w:ascii="Times New Roman" w:hAnsi="Times New Roman"/>
                <w:b/>
                <w:sz w:val="24"/>
              </w:rPr>
              <w:t>Uproszczona metoda standardowa dotycząca ryzyka kredytowego kontrahenta (w odniesieniu do instrumentów pochodnych)</w:t>
            </w:r>
          </w:p>
          <w:p w14:paraId="10F957D1" w14:textId="4A672A0C" w:rsidR="00F43911" w:rsidRPr="00396116" w:rsidRDefault="00F43911" w:rsidP="004F3087">
            <w:pPr>
              <w:pStyle w:val="TableMainHeading"/>
              <w:spacing w:before="0" w:after="240"/>
              <w:jc w:val="both"/>
              <w:rPr>
                <w:rFonts w:ascii="Times New Roman" w:hAnsi="Times New Roman"/>
                <w:sz w:val="24"/>
                <w:szCs w:val="24"/>
              </w:rPr>
            </w:pPr>
            <w:r w:rsidRPr="00396116">
              <w:rPr>
                <w:rFonts w:ascii="Times New Roman" w:hAnsi="Times New Roman"/>
                <w:sz w:val="24"/>
              </w:rPr>
              <w:t>Instrumenty pochodne oraz transakcje z długim terminem rozliczenia, dla których instytucje zdecydowały się obliczyć wartość ekspozycji jako alfa*(RC+PFE), przy czym α=1,4, a RC i PFE oblicza się zgodnie z częścią trzecią tytuł II rozdział 6 sekcja 4 art. 281 rozporządzenia (UE) nr 575/2013.</w:t>
            </w:r>
          </w:p>
          <w:p w14:paraId="48AAA379" w14:textId="72C4FD1A" w:rsidR="00F43911" w:rsidRPr="00396116" w:rsidRDefault="00F43911" w:rsidP="004F3087">
            <w:pPr>
              <w:pStyle w:val="TableMainHeading"/>
              <w:spacing w:before="0" w:after="240"/>
              <w:jc w:val="both"/>
              <w:rPr>
                <w:rFonts w:ascii="Times New Roman" w:hAnsi="Times New Roman"/>
                <w:i/>
                <w:sz w:val="24"/>
                <w:szCs w:val="24"/>
              </w:rPr>
            </w:pPr>
            <w:r w:rsidRPr="00396116">
              <w:rPr>
                <w:rFonts w:ascii="Times New Roman" w:hAnsi="Times New Roman"/>
                <w:sz w:val="24"/>
              </w:rPr>
              <w:t xml:space="preserve">Tę uproszczoną metodę standardową służącą do obliczania wartości ekspozycji z tytułu pozycji w instrumentach pochodnych mogą stosować wyłącznie instytucje spełniające warunki określone w części trzeciej tytuł II rozdział 6 art. 273a ust. 1 lub 4 rozporządzenia (UE) nr 575/2013. </w:t>
            </w:r>
          </w:p>
        </w:tc>
      </w:tr>
      <w:tr w:rsidR="00F43911" w:rsidRPr="00396116" w14:paraId="3680CF86" w14:textId="77777777" w:rsidTr="004F3087">
        <w:trPr>
          <w:trHeight w:val="680"/>
        </w:trPr>
        <w:tc>
          <w:tcPr>
            <w:tcW w:w="1384" w:type="dxa"/>
          </w:tcPr>
          <w:p w14:paraId="35587E43" w14:textId="77777777" w:rsidR="00F43911" w:rsidRPr="00396116" w:rsidRDefault="00F43911" w:rsidP="004F3087">
            <w:pPr>
              <w:pStyle w:val="Applicationdirecte"/>
              <w:spacing w:before="0" w:after="240"/>
              <w:jc w:val="center"/>
            </w:pPr>
            <w:r w:rsidRPr="00396116">
              <w:t>1</w:t>
            </w:r>
          </w:p>
        </w:tc>
        <w:tc>
          <w:tcPr>
            <w:tcW w:w="7655" w:type="dxa"/>
          </w:tcPr>
          <w:p w14:paraId="1EF0ADED" w14:textId="77777777" w:rsidR="00F43911" w:rsidRPr="00396116" w:rsidRDefault="00F43911" w:rsidP="004F3087">
            <w:pPr>
              <w:pStyle w:val="Default"/>
              <w:spacing w:after="240"/>
              <w:jc w:val="both"/>
              <w:rPr>
                <w:rFonts w:ascii="Times New Roman" w:hAnsi="Times New Roman" w:cs="Times New Roman"/>
                <w:b/>
              </w:rPr>
            </w:pPr>
            <w:r w:rsidRPr="00396116">
              <w:rPr>
                <w:rFonts w:ascii="Times New Roman" w:hAnsi="Times New Roman"/>
                <w:b/>
              </w:rPr>
              <w:t>Metoda standardowa dotycząca ryzyka kredytowego kontrahenta (w odniesieniu do instrumentów pochodnych)</w:t>
            </w:r>
          </w:p>
          <w:p w14:paraId="124D31EB" w14:textId="0A2EBA1F" w:rsidR="00F43911" w:rsidRPr="00396116" w:rsidRDefault="00F43911" w:rsidP="004F3087">
            <w:pPr>
              <w:pStyle w:val="Default"/>
              <w:spacing w:after="240"/>
              <w:jc w:val="both"/>
              <w:rPr>
                <w:rFonts w:ascii="Times New Roman" w:hAnsi="Times New Roman" w:cs="Times New Roman"/>
                <w:i/>
              </w:rPr>
            </w:pPr>
            <w:r w:rsidRPr="00396116">
              <w:rPr>
                <w:rFonts w:ascii="Times New Roman" w:hAnsi="Times New Roman"/>
              </w:rPr>
              <w:t>Instrumenty pochodne oraz transakcje z długim terminem rozliczenia, dla których instytucje zdecydowały się obliczyć wartość ekspozycji jako alfa*(RC+PFE), przy czym α=1,4, a RC i PFE oblicza się zgodnie z częścią trzecią tytuł II rozdział 6 sekcja 3 rozporządzenia (UE) nr 575/2013.</w:t>
            </w:r>
          </w:p>
        </w:tc>
      </w:tr>
      <w:tr w:rsidR="00F43911" w:rsidRPr="00396116" w14:paraId="578C8E76" w14:textId="77777777" w:rsidTr="004F3087">
        <w:trPr>
          <w:trHeight w:val="680"/>
        </w:trPr>
        <w:tc>
          <w:tcPr>
            <w:tcW w:w="1384" w:type="dxa"/>
          </w:tcPr>
          <w:p w14:paraId="06A628A4" w14:textId="77777777" w:rsidR="00F43911" w:rsidRPr="00396116" w:rsidRDefault="00F43911" w:rsidP="004F3087">
            <w:pPr>
              <w:pStyle w:val="Applicationdirecte"/>
              <w:spacing w:before="0" w:after="240"/>
              <w:jc w:val="center"/>
              <w:rPr>
                <w:highlight w:val="yellow"/>
              </w:rPr>
            </w:pPr>
            <w:r w:rsidRPr="00396116">
              <w:t>2</w:t>
            </w:r>
          </w:p>
        </w:tc>
        <w:tc>
          <w:tcPr>
            <w:tcW w:w="7655" w:type="dxa"/>
          </w:tcPr>
          <w:p w14:paraId="2F71D0B4" w14:textId="77777777" w:rsidR="00F43911" w:rsidRPr="00396116" w:rsidRDefault="00F43911" w:rsidP="004F3087">
            <w:pPr>
              <w:pStyle w:val="Default"/>
              <w:spacing w:after="240"/>
              <w:jc w:val="both"/>
              <w:rPr>
                <w:rFonts w:ascii="Times New Roman" w:hAnsi="Times New Roman" w:cs="Times New Roman"/>
                <w:b/>
              </w:rPr>
            </w:pPr>
            <w:r w:rsidRPr="00396116">
              <w:rPr>
                <w:rFonts w:ascii="Times New Roman" w:hAnsi="Times New Roman"/>
                <w:b/>
              </w:rPr>
              <w:t>Metoda modeli wewnętrznych (w odniesieniu do instrumentów pochodnych i SFT)</w:t>
            </w:r>
          </w:p>
          <w:p w14:paraId="3C605AEA" w14:textId="3DA6EB7D" w:rsidR="00F43911" w:rsidRPr="00396116" w:rsidRDefault="00F43911" w:rsidP="004F3087">
            <w:pPr>
              <w:autoSpaceDE w:val="0"/>
              <w:autoSpaceDN w:val="0"/>
              <w:adjustRightInd w:val="0"/>
              <w:spacing w:after="240"/>
              <w:jc w:val="both"/>
              <w:rPr>
                <w:rFonts w:ascii="Times New Roman" w:hAnsi="Times New Roman" w:cs="Times New Roman"/>
                <w:i/>
                <w:sz w:val="24"/>
              </w:rPr>
            </w:pPr>
            <w:r w:rsidRPr="00396116">
              <w:rPr>
                <w:rFonts w:ascii="Times New Roman" w:hAnsi="Times New Roman"/>
                <w:color w:val="000000"/>
                <w:sz w:val="24"/>
              </w:rPr>
              <w:t>Instrumenty pochodne oraz transakcje z długim terminem rozliczenia i SFT, dla których instytucjom pozwolono na obliczenie wartości ekspozycji z użyciem metody modeli wewnętrznych (IMM) zgodnie z częścią trzecią tytuł II rozdział 6 sekcja 6 rozporządzenia (UE) nr 575/2013.</w:t>
            </w:r>
          </w:p>
        </w:tc>
      </w:tr>
      <w:tr w:rsidR="00F43911" w:rsidRPr="00396116" w14:paraId="143A2404" w14:textId="77777777" w:rsidTr="004F3087">
        <w:trPr>
          <w:trHeight w:val="680"/>
        </w:trPr>
        <w:tc>
          <w:tcPr>
            <w:tcW w:w="1384" w:type="dxa"/>
          </w:tcPr>
          <w:p w14:paraId="46421B56" w14:textId="77777777" w:rsidR="00F43911" w:rsidRPr="00396116" w:rsidRDefault="00F43911" w:rsidP="004F3087">
            <w:pPr>
              <w:pStyle w:val="Applicationdirecte"/>
              <w:spacing w:before="0" w:after="240"/>
              <w:jc w:val="center"/>
            </w:pPr>
            <w:r w:rsidRPr="00396116">
              <w:t>EU-2a</w:t>
            </w:r>
          </w:p>
        </w:tc>
        <w:tc>
          <w:tcPr>
            <w:tcW w:w="7655" w:type="dxa"/>
          </w:tcPr>
          <w:p w14:paraId="711F7D3E" w14:textId="77777777" w:rsidR="00F43911" w:rsidRPr="00396116" w:rsidRDefault="00F43911" w:rsidP="004F3087">
            <w:pPr>
              <w:pStyle w:val="Default"/>
              <w:spacing w:after="240"/>
              <w:jc w:val="both"/>
              <w:rPr>
                <w:rFonts w:ascii="Times New Roman" w:hAnsi="Times New Roman" w:cs="Times New Roman"/>
                <w:b/>
              </w:rPr>
            </w:pPr>
            <w:r w:rsidRPr="00396116">
              <w:rPr>
                <w:rFonts w:ascii="Times New Roman" w:hAnsi="Times New Roman"/>
                <w:b/>
              </w:rPr>
              <w:t>W tym pakiety kompensowania transakcji finansowanych z użyciem papierów wartościowych</w:t>
            </w:r>
          </w:p>
          <w:p w14:paraId="6014ACE8" w14:textId="47A4E50A" w:rsidR="00F43911" w:rsidRPr="00396116" w:rsidRDefault="00F43911" w:rsidP="004F3087">
            <w:pPr>
              <w:pStyle w:val="Default"/>
              <w:spacing w:after="240"/>
              <w:jc w:val="both"/>
              <w:rPr>
                <w:rFonts w:ascii="Times New Roman" w:hAnsi="Times New Roman" w:cs="Times New Roman"/>
              </w:rPr>
            </w:pPr>
            <w:r w:rsidRPr="00396116">
              <w:rPr>
                <w:rFonts w:ascii="Times New Roman" w:hAnsi="Times New Roman"/>
              </w:rPr>
              <w:t>Pakiety kompensowania zawierające wyłącznie SFT określone w art. 4 ust. 1 pkt 139 rozporządzenia (UE) nr 575/2013, dla których instytucjom pozwolono na obliczenie wartości ekspozycji z użyciem IMM</w:t>
            </w:r>
          </w:p>
        </w:tc>
      </w:tr>
      <w:tr w:rsidR="00F43911" w:rsidRPr="00396116" w14:paraId="2A9527B7" w14:textId="77777777" w:rsidTr="004F3087">
        <w:trPr>
          <w:trHeight w:val="680"/>
        </w:trPr>
        <w:tc>
          <w:tcPr>
            <w:tcW w:w="1384" w:type="dxa"/>
          </w:tcPr>
          <w:p w14:paraId="158457DE" w14:textId="77777777" w:rsidR="00F43911" w:rsidRPr="00396116" w:rsidRDefault="00F43911" w:rsidP="004F3087">
            <w:pPr>
              <w:pStyle w:val="Applicationdirecte"/>
              <w:spacing w:before="0" w:after="240"/>
              <w:jc w:val="center"/>
            </w:pPr>
            <w:r w:rsidRPr="00396116">
              <w:t>EU-2b</w:t>
            </w:r>
          </w:p>
        </w:tc>
        <w:tc>
          <w:tcPr>
            <w:tcW w:w="7655" w:type="dxa"/>
          </w:tcPr>
          <w:p w14:paraId="112B8BC9" w14:textId="77777777" w:rsidR="00F43911" w:rsidRPr="00396116" w:rsidRDefault="00F43911" w:rsidP="004F3087">
            <w:pPr>
              <w:pStyle w:val="Default"/>
              <w:spacing w:after="240"/>
              <w:jc w:val="both"/>
              <w:rPr>
                <w:rFonts w:ascii="Times New Roman" w:hAnsi="Times New Roman" w:cs="Times New Roman"/>
                <w:b/>
              </w:rPr>
            </w:pPr>
            <w:r w:rsidRPr="00396116">
              <w:rPr>
                <w:rFonts w:ascii="Times New Roman" w:hAnsi="Times New Roman"/>
                <w:b/>
              </w:rPr>
              <w:t>W tym pakiety kompensowania instrumentów pochodnych i transakcji z długim terminem rozliczenia</w:t>
            </w:r>
          </w:p>
          <w:p w14:paraId="4E9E50F8" w14:textId="68959B51" w:rsidR="00F43911" w:rsidRPr="00396116" w:rsidRDefault="00F43911" w:rsidP="004F3087">
            <w:pPr>
              <w:pStyle w:val="Default"/>
              <w:spacing w:after="240"/>
              <w:jc w:val="both"/>
              <w:rPr>
                <w:rFonts w:ascii="Times New Roman" w:hAnsi="Times New Roman" w:cs="Times New Roman"/>
                <w:i/>
              </w:rPr>
            </w:pPr>
            <w:r w:rsidRPr="00396116">
              <w:rPr>
                <w:rFonts w:ascii="Times New Roman" w:hAnsi="Times New Roman"/>
              </w:rPr>
              <w:t xml:space="preserve">Pakiety kompensowania zawierające wyłącznie instrumenty pochodne wymienione w załączniku II do rozporządzenia (UE) nr 575/2013 oraz transakcje z długim terminem rozliczenia określone w art. 272 pkt 2 </w:t>
            </w:r>
            <w:r w:rsidRPr="00396116">
              <w:rPr>
                <w:rFonts w:ascii="Times New Roman" w:hAnsi="Times New Roman"/>
              </w:rPr>
              <w:lastRenderedPageBreak/>
              <w:t>rozporządzenia (UE) nr 575/2013, dla których instytucjom pozwolono na obliczenie wartości ekspozycji z użyciem IMM</w:t>
            </w:r>
          </w:p>
        </w:tc>
      </w:tr>
      <w:tr w:rsidR="00F43911" w:rsidRPr="00396116" w14:paraId="124CD73D" w14:textId="77777777" w:rsidTr="004F3087">
        <w:trPr>
          <w:trHeight w:val="680"/>
        </w:trPr>
        <w:tc>
          <w:tcPr>
            <w:tcW w:w="1384" w:type="dxa"/>
          </w:tcPr>
          <w:p w14:paraId="3721675B" w14:textId="77777777" w:rsidR="00F43911" w:rsidRPr="00396116" w:rsidRDefault="00F43911" w:rsidP="004F3087">
            <w:pPr>
              <w:pStyle w:val="Applicationdirecte"/>
              <w:spacing w:before="0" w:after="240"/>
              <w:jc w:val="center"/>
            </w:pPr>
            <w:r w:rsidRPr="00396116">
              <w:lastRenderedPageBreak/>
              <w:t>EU-2c</w:t>
            </w:r>
          </w:p>
        </w:tc>
        <w:tc>
          <w:tcPr>
            <w:tcW w:w="7655" w:type="dxa"/>
          </w:tcPr>
          <w:p w14:paraId="1786D9AA" w14:textId="77777777" w:rsidR="00F43911" w:rsidRPr="00396116" w:rsidRDefault="00F43911" w:rsidP="004F3087">
            <w:pPr>
              <w:pStyle w:val="Default"/>
              <w:spacing w:after="240"/>
              <w:jc w:val="both"/>
              <w:rPr>
                <w:rFonts w:ascii="Times New Roman" w:hAnsi="Times New Roman" w:cs="Times New Roman"/>
                <w:b/>
              </w:rPr>
            </w:pPr>
            <w:r w:rsidRPr="00396116">
              <w:rPr>
                <w:rFonts w:ascii="Times New Roman" w:hAnsi="Times New Roman"/>
                <w:b/>
              </w:rPr>
              <w:t>W tym pakiety kompensowania, dla których istnieją umowy o kompensowaniu międzyproduktowym</w:t>
            </w:r>
          </w:p>
          <w:p w14:paraId="2B590CCD" w14:textId="62BAAF0A" w:rsidR="00F43911" w:rsidRPr="00396116" w:rsidRDefault="00F43911" w:rsidP="004F3087">
            <w:pPr>
              <w:pStyle w:val="Default"/>
              <w:spacing w:after="240"/>
              <w:jc w:val="both"/>
              <w:rPr>
                <w:rFonts w:ascii="Times New Roman" w:hAnsi="Times New Roman" w:cs="Times New Roman"/>
                <w:i/>
              </w:rPr>
            </w:pPr>
            <w:r w:rsidRPr="00396116">
              <w:rPr>
                <w:rFonts w:ascii="Times New Roman" w:hAnsi="Times New Roman"/>
              </w:rPr>
              <w:t>Pakiety kompensowania zawierające transakcje dotyczące różnych kategorii produktów (art. 272 pkt 11 rozporządzenia (UE) nr 575/2013), tj. instrumenty pochodne i SFT, dla których istnieje umowa o kompensowaniu międzyproduktowym zdefiniowana w art. 272 pkt 25 rozporządzenia (UE) nr 575/2013 i dla których instytucjom pozwolono na obliczenie wartości ekspozycji z użyciem IMM</w:t>
            </w:r>
          </w:p>
        </w:tc>
      </w:tr>
      <w:tr w:rsidR="00F43911" w:rsidRPr="00396116" w14:paraId="7D81F05B" w14:textId="77777777" w:rsidTr="004F3087">
        <w:trPr>
          <w:trHeight w:val="680"/>
        </w:trPr>
        <w:tc>
          <w:tcPr>
            <w:tcW w:w="1384" w:type="dxa"/>
          </w:tcPr>
          <w:p w14:paraId="28E9EC92" w14:textId="77777777" w:rsidR="00F43911" w:rsidRPr="00396116" w:rsidRDefault="00F43911" w:rsidP="004F3087">
            <w:pPr>
              <w:pStyle w:val="Applicationdirecte"/>
              <w:spacing w:before="0" w:after="240"/>
              <w:jc w:val="center"/>
            </w:pPr>
            <w:r w:rsidRPr="00396116">
              <w:t>3, 4</w:t>
            </w:r>
          </w:p>
        </w:tc>
        <w:tc>
          <w:tcPr>
            <w:tcW w:w="7655" w:type="dxa"/>
          </w:tcPr>
          <w:p w14:paraId="3125535D" w14:textId="77777777" w:rsidR="00F43911" w:rsidRPr="00396116" w:rsidRDefault="00F43911" w:rsidP="004F3087">
            <w:pPr>
              <w:pStyle w:val="TableMainHeading"/>
              <w:spacing w:before="0" w:after="240"/>
              <w:jc w:val="both"/>
              <w:rPr>
                <w:rFonts w:ascii="Times New Roman" w:hAnsi="Times New Roman"/>
                <w:b/>
                <w:sz w:val="24"/>
                <w:szCs w:val="24"/>
              </w:rPr>
            </w:pPr>
            <w:r w:rsidRPr="00396116">
              <w:rPr>
                <w:rFonts w:ascii="Times New Roman" w:hAnsi="Times New Roman"/>
                <w:b/>
                <w:sz w:val="24"/>
              </w:rPr>
              <w:t>Uproszczona metoda ujmowania zabezpieczeń finansowych (w odniesieniu do SFT) i kompleksowa metoda ujmowania zabezpieczeń finansowych (w odniesieniu do SFT)</w:t>
            </w:r>
          </w:p>
          <w:p w14:paraId="7FFBE4B5" w14:textId="7D2E8323" w:rsidR="00F43911" w:rsidRPr="00396116" w:rsidRDefault="00F43911" w:rsidP="004F3087">
            <w:pPr>
              <w:pStyle w:val="TableMainHeading"/>
              <w:spacing w:before="0" w:after="240"/>
              <w:jc w:val="both"/>
              <w:rPr>
                <w:rFonts w:ascii="Times New Roman" w:hAnsi="Times New Roman"/>
                <w:i/>
                <w:sz w:val="24"/>
                <w:szCs w:val="24"/>
              </w:rPr>
            </w:pPr>
            <w:r w:rsidRPr="00396116">
              <w:rPr>
                <w:rFonts w:ascii="Times New Roman" w:hAnsi="Times New Roman"/>
                <w:sz w:val="24"/>
              </w:rPr>
              <w:t>Transakcje odkupu, transakcje udzielania lub zaciągania pożyczek papierów wartościowych lub towarów i transakcje z obowiązkiem uzupełnienia zabezpieczenia kredytowego, dla których instytucje postanowiły ustalić wartość ekspozycji zgodnie z częścią trzecią tytuł II rozdział 4 art. 222 i 223 rozporządzenia (UE) nr 575/2013, a nie z częścią trzecią tytuł II rozdział 6 art. 271 ust. 2 rozporządzenia (UE) nr 575/2013.</w:t>
            </w:r>
          </w:p>
        </w:tc>
      </w:tr>
      <w:tr w:rsidR="00F43911" w:rsidRPr="00396116" w14:paraId="0521450C" w14:textId="77777777" w:rsidTr="004F3087">
        <w:trPr>
          <w:trHeight w:val="680"/>
        </w:trPr>
        <w:tc>
          <w:tcPr>
            <w:tcW w:w="1384" w:type="dxa"/>
          </w:tcPr>
          <w:p w14:paraId="7CEED5F4" w14:textId="77777777" w:rsidR="00F43911" w:rsidRPr="00396116" w:rsidRDefault="00F43911" w:rsidP="004F3087">
            <w:pPr>
              <w:pStyle w:val="Applicationdirecte"/>
              <w:spacing w:before="0" w:after="240"/>
              <w:jc w:val="center"/>
              <w:rPr>
                <w:highlight w:val="yellow"/>
              </w:rPr>
            </w:pPr>
            <w:r w:rsidRPr="00396116">
              <w:t>5</w:t>
            </w:r>
          </w:p>
        </w:tc>
        <w:tc>
          <w:tcPr>
            <w:tcW w:w="7655" w:type="dxa"/>
          </w:tcPr>
          <w:p w14:paraId="7192FE6E" w14:textId="77777777" w:rsidR="00F43911" w:rsidRPr="00396116" w:rsidRDefault="00F43911" w:rsidP="004F3087">
            <w:pPr>
              <w:pStyle w:val="TableMainHeading"/>
              <w:spacing w:before="0" w:after="240"/>
              <w:jc w:val="both"/>
              <w:rPr>
                <w:rFonts w:ascii="Times New Roman" w:hAnsi="Times New Roman"/>
                <w:b/>
                <w:sz w:val="24"/>
                <w:szCs w:val="24"/>
              </w:rPr>
            </w:pPr>
            <w:r w:rsidRPr="00396116">
              <w:rPr>
                <w:rFonts w:ascii="Times New Roman" w:hAnsi="Times New Roman"/>
                <w:b/>
                <w:sz w:val="24"/>
              </w:rPr>
              <w:t>VaR w przypadku SFT</w:t>
            </w:r>
          </w:p>
          <w:p w14:paraId="2F37A77D" w14:textId="7C69D743" w:rsidR="00F43911" w:rsidRPr="00396116" w:rsidRDefault="00F43911" w:rsidP="004F3087">
            <w:pPr>
              <w:pStyle w:val="TableMainHeading"/>
              <w:spacing w:before="0" w:after="240"/>
              <w:jc w:val="both"/>
              <w:rPr>
                <w:rFonts w:ascii="Times New Roman" w:hAnsi="Times New Roman"/>
                <w:i/>
                <w:sz w:val="24"/>
                <w:szCs w:val="24"/>
              </w:rPr>
            </w:pPr>
            <w:r w:rsidRPr="00396116">
              <w:rPr>
                <w:rFonts w:ascii="Times New Roman" w:hAnsi="Times New Roman"/>
                <w:sz w:val="24"/>
              </w:rPr>
              <w:t>Transakcje odkupu, transakcje udzielania lub zaciągania pożyczek papierów wartościowych lub towarów, transakcje z obowiązkiem uzupełnienia zabezpieczenia kredytowego lub inne transakcje oparte na rynku kapitałowym inne niż transakcje na instrumentach pochodnych, dla których (zgodnie z art. 221 rozporządzenia (UE) nr 575/2013) wartość ekspozycji oblicza się przy zastosowaniu metody modeli wewnętrznych uwzględniającej skutki korelacji pomiędzy pozycjami sekurytyzacyjnymi objętymi umową ramową o kompensowaniu zobowiązań oraz płynność danych instrumentów</w:t>
            </w:r>
          </w:p>
        </w:tc>
      </w:tr>
      <w:tr w:rsidR="00F43911" w:rsidRPr="00396116" w14:paraId="31D989D4" w14:textId="77777777" w:rsidTr="004F3087">
        <w:trPr>
          <w:trHeight w:val="680"/>
        </w:trPr>
        <w:tc>
          <w:tcPr>
            <w:tcW w:w="1384" w:type="dxa"/>
          </w:tcPr>
          <w:p w14:paraId="6862A0A5" w14:textId="77777777" w:rsidR="00F43911" w:rsidRPr="00396116" w:rsidRDefault="00F43911" w:rsidP="004F3087">
            <w:pPr>
              <w:pStyle w:val="Applicationdirecte"/>
              <w:spacing w:before="0" w:after="240"/>
              <w:jc w:val="center"/>
            </w:pPr>
            <w:r w:rsidRPr="00396116">
              <w:t>6</w:t>
            </w:r>
          </w:p>
        </w:tc>
        <w:tc>
          <w:tcPr>
            <w:tcW w:w="7655" w:type="dxa"/>
          </w:tcPr>
          <w:p w14:paraId="2AB9B821" w14:textId="77777777" w:rsidR="00F43911" w:rsidRPr="00396116" w:rsidRDefault="00F43911" w:rsidP="004F3087">
            <w:pPr>
              <w:pStyle w:val="TableMainHeading"/>
              <w:spacing w:before="0" w:after="240"/>
              <w:jc w:val="both"/>
              <w:rPr>
                <w:rFonts w:ascii="Times New Roman" w:hAnsi="Times New Roman"/>
                <w:b/>
                <w:sz w:val="24"/>
                <w:szCs w:val="24"/>
              </w:rPr>
            </w:pPr>
            <w:r w:rsidRPr="00396116">
              <w:rPr>
                <w:rFonts w:ascii="Times New Roman" w:hAnsi="Times New Roman"/>
                <w:b/>
                <w:sz w:val="24"/>
              </w:rPr>
              <w:t>Ogółem</w:t>
            </w:r>
          </w:p>
        </w:tc>
      </w:tr>
      <w:tr w:rsidR="00F43911" w:rsidRPr="00396116"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396116" w:rsidRDefault="00F43911" w:rsidP="004F3087">
            <w:pPr>
              <w:pStyle w:val="Applicationdirecte"/>
              <w:spacing w:before="0" w:after="240"/>
              <w:jc w:val="center"/>
              <w:rPr>
                <w:b/>
              </w:rPr>
            </w:pPr>
            <w:r w:rsidRPr="00396116">
              <w:rPr>
                <w:b/>
              </w:rPr>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396116" w:rsidRDefault="00F43911" w:rsidP="004F3087">
            <w:pPr>
              <w:pStyle w:val="TableMainHeading"/>
              <w:spacing w:before="0" w:after="240"/>
              <w:rPr>
                <w:rFonts w:ascii="Times New Roman" w:hAnsi="Times New Roman"/>
                <w:b/>
                <w:sz w:val="24"/>
                <w:szCs w:val="24"/>
              </w:rPr>
            </w:pPr>
            <w:r w:rsidRPr="00396116">
              <w:rPr>
                <w:rFonts w:ascii="Times New Roman" w:hAnsi="Times New Roman"/>
                <w:b/>
                <w:sz w:val="24"/>
              </w:rPr>
              <w:t>Wyjaśnienie</w:t>
            </w:r>
          </w:p>
        </w:tc>
      </w:tr>
      <w:tr w:rsidR="00F43911" w:rsidRPr="00396116"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396116" w:rsidRDefault="00F43911" w:rsidP="004F3087">
            <w:pPr>
              <w:pStyle w:val="Applicationdirecte"/>
              <w:spacing w:before="0" w:after="240"/>
              <w:jc w:val="center"/>
            </w:pPr>
            <w:r w:rsidRPr="00396116">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77777777" w:rsidR="00F43911" w:rsidRPr="00396116" w:rsidRDefault="00F43911" w:rsidP="004F3087">
            <w:pPr>
              <w:pStyle w:val="TableMainHeading"/>
              <w:spacing w:before="0" w:after="240"/>
              <w:jc w:val="both"/>
              <w:rPr>
                <w:rFonts w:ascii="Times New Roman" w:hAnsi="Times New Roman"/>
                <w:b/>
                <w:sz w:val="24"/>
                <w:szCs w:val="24"/>
              </w:rPr>
            </w:pPr>
            <w:r w:rsidRPr="00396116">
              <w:rPr>
                <w:rFonts w:ascii="Times New Roman" w:hAnsi="Times New Roman"/>
                <w:b/>
                <w:sz w:val="24"/>
              </w:rPr>
              <w:t xml:space="preserve">Koszt odtworzenia (RC) i potencjalna przyszła ekspozycja (PFE) </w:t>
            </w:r>
          </w:p>
          <w:p w14:paraId="366AE0A2" w14:textId="77777777" w:rsidR="00F43911" w:rsidRPr="00396116" w:rsidRDefault="00F43911" w:rsidP="004F3087">
            <w:pPr>
              <w:pStyle w:val="TableMainHeading"/>
              <w:spacing w:before="0" w:after="240"/>
              <w:jc w:val="both"/>
              <w:rPr>
                <w:rFonts w:ascii="Times New Roman" w:hAnsi="Times New Roman"/>
                <w:sz w:val="24"/>
                <w:szCs w:val="24"/>
              </w:rPr>
            </w:pPr>
            <w:r w:rsidRPr="00396116">
              <w:rPr>
                <w:rFonts w:ascii="Times New Roman" w:hAnsi="Times New Roman"/>
                <w:sz w:val="24"/>
              </w:rPr>
              <w:t>RC i PFE oblicza się:</w:t>
            </w:r>
          </w:p>
          <w:p w14:paraId="3D3887A9" w14:textId="037427CB" w:rsidR="00F43911" w:rsidRPr="00396116" w:rsidRDefault="00F43911" w:rsidP="004F3087">
            <w:pPr>
              <w:pStyle w:val="TableMainHeading"/>
              <w:spacing w:before="0" w:after="240"/>
              <w:jc w:val="both"/>
              <w:rPr>
                <w:rFonts w:ascii="Times New Roman" w:hAnsi="Times New Roman"/>
                <w:sz w:val="24"/>
                <w:szCs w:val="24"/>
              </w:rPr>
            </w:pPr>
            <w:r w:rsidRPr="00396116">
              <w:rPr>
                <w:rFonts w:ascii="Times New Roman" w:hAnsi="Times New Roman"/>
                <w:sz w:val="24"/>
              </w:rPr>
              <w:t xml:space="preserve">– zgodnie z częścią trzecią tytuł II rozdział 6 sekcja 5 art. 282 ust. 3 i 4 rozporządzenia (UE) nr 575/2013 w odniesieniu do metody wyceny pierwotnej ekspozycji (wiersz EU-1 niniejszego wzoru); </w:t>
            </w:r>
          </w:p>
          <w:p w14:paraId="3CB92BF2" w14:textId="1A27535E" w:rsidR="00F43911" w:rsidRPr="00396116" w:rsidRDefault="00F43911" w:rsidP="004F3087">
            <w:pPr>
              <w:pStyle w:val="TableMainHeading"/>
              <w:spacing w:before="0" w:after="240"/>
              <w:jc w:val="both"/>
              <w:rPr>
                <w:rFonts w:ascii="Times New Roman" w:hAnsi="Times New Roman"/>
                <w:sz w:val="24"/>
                <w:szCs w:val="24"/>
              </w:rPr>
            </w:pPr>
            <w:r w:rsidRPr="00396116">
              <w:rPr>
                <w:rFonts w:ascii="Times New Roman" w:hAnsi="Times New Roman"/>
                <w:sz w:val="24"/>
              </w:rPr>
              <w:t xml:space="preserve">– zgodnie z częścią trzecią tytuł II rozdział 6 sekcja 5 art. 281 rozporządzenia (UE) nr 575/2013 w odniesieniu do uproszczonej metody standardowej </w:t>
            </w:r>
            <w:r w:rsidRPr="00396116">
              <w:rPr>
                <w:rFonts w:ascii="Times New Roman" w:hAnsi="Times New Roman"/>
                <w:sz w:val="24"/>
              </w:rPr>
              <w:lastRenderedPageBreak/>
              <w:t>dotyczącej ryzyka kredytowego kontrahenta (wiersz EU-2 niniejszego wzoru);</w:t>
            </w:r>
          </w:p>
          <w:p w14:paraId="26D7BCAE" w14:textId="71B5EE99" w:rsidR="00F43911" w:rsidRPr="00396116" w:rsidRDefault="00F43911" w:rsidP="004F3087">
            <w:pPr>
              <w:pStyle w:val="TableMainHeading"/>
              <w:spacing w:before="0" w:after="240"/>
              <w:jc w:val="both"/>
              <w:rPr>
                <w:rFonts w:ascii="Times New Roman" w:hAnsi="Times New Roman"/>
                <w:sz w:val="24"/>
                <w:szCs w:val="24"/>
              </w:rPr>
            </w:pPr>
            <w:r w:rsidRPr="00396116">
              <w:rPr>
                <w:rFonts w:ascii="Times New Roman" w:hAnsi="Times New Roman"/>
                <w:sz w:val="24"/>
              </w:rPr>
              <w:t>– zgodnie z częścią trzecią tytuł II rozdział 6 sekcje 4 i 5 art. 275 i 278 rozporządzenia (UE) nr 575/2013 w odniesieniu do metody standardowej dotyczącej CCR (wiersz 1 niniejszego wzoru).</w:t>
            </w:r>
          </w:p>
          <w:p w14:paraId="3D6E29EA" w14:textId="77777777" w:rsidR="00F43911" w:rsidRPr="00396116" w:rsidRDefault="00F43911" w:rsidP="004F3087">
            <w:pPr>
              <w:spacing w:after="240"/>
            </w:pPr>
            <w:r w:rsidRPr="00396116">
              <w:rPr>
                <w:rFonts w:ascii="Times New Roman" w:hAnsi="Times New Roman"/>
                <w:sz w:val="24"/>
              </w:rPr>
              <w:t>Instytucje ujawniają sumę kosztów odtworzenia dla wszystkich pakietów kompensowania w odpowiednich wierszach.</w:t>
            </w:r>
          </w:p>
        </w:tc>
      </w:tr>
      <w:tr w:rsidR="00F43911" w:rsidRPr="00396116"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396116" w:rsidRDefault="00F43911" w:rsidP="004F3087">
            <w:pPr>
              <w:pStyle w:val="Applicationdirecte"/>
              <w:spacing w:before="0" w:after="240"/>
              <w:jc w:val="center"/>
            </w:pPr>
            <w:r w:rsidRPr="00396116">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396116" w:rsidRDefault="00F43911" w:rsidP="004F3087">
            <w:pPr>
              <w:pStyle w:val="Default"/>
              <w:spacing w:after="240"/>
              <w:jc w:val="both"/>
              <w:rPr>
                <w:rFonts w:ascii="Times New Roman" w:hAnsi="Times New Roman" w:cs="Times New Roman"/>
                <w:b/>
              </w:rPr>
            </w:pPr>
            <w:r w:rsidRPr="00396116">
              <w:rPr>
                <w:rFonts w:ascii="Times New Roman" w:hAnsi="Times New Roman"/>
                <w:b/>
              </w:rPr>
              <w:t>Efektywna dodatnia ekspozycja oczekiwana (EEPE)</w:t>
            </w:r>
          </w:p>
          <w:p w14:paraId="457B2CC6" w14:textId="76476F86" w:rsidR="00F43911" w:rsidRPr="00396116" w:rsidRDefault="00F43911" w:rsidP="004F3087">
            <w:pPr>
              <w:pStyle w:val="Default"/>
              <w:spacing w:after="240"/>
              <w:jc w:val="both"/>
              <w:rPr>
                <w:rFonts w:ascii="Times New Roman" w:hAnsi="Times New Roman" w:cs="Times New Roman"/>
              </w:rPr>
            </w:pPr>
            <w:r w:rsidRPr="00396116">
              <w:rPr>
                <w:rFonts w:ascii="Times New Roman" w:hAnsi="Times New Roman"/>
              </w:rPr>
              <w:t>EEPE pakietu kompensowania zdefiniowano w art. 272 pkt 22 rozporządzenia (UE) nr 575/2013 – oblicza się ją zgodnie z wymogami art. 284 ust. 6 rozporządzenia (UE) nr 575/2013.</w:t>
            </w:r>
          </w:p>
          <w:p w14:paraId="217186F1" w14:textId="2D8E5933" w:rsidR="00F43911" w:rsidRPr="00396116" w:rsidRDefault="00F43911" w:rsidP="004F3087">
            <w:pPr>
              <w:pStyle w:val="Default"/>
              <w:spacing w:after="240"/>
              <w:jc w:val="both"/>
              <w:rPr>
                <w:rFonts w:ascii="Times New Roman" w:hAnsi="Times New Roman" w:cs="Times New Roman"/>
              </w:rPr>
            </w:pPr>
            <w:r w:rsidRPr="00396116">
              <w:rPr>
                <w:rFonts w:ascii="Times New Roman" w:hAnsi="Times New Roman"/>
              </w:rPr>
              <w:t>Ujawniania w tej pozycji EEPE odpowiada EEPE stosowanej w celu określenia wymogów w zakresie funduszy własnych zgodnie z art. 284 ust. 3 rozporządzenia (UE) nr 575/2013, tj. EEPE obliczonej na podstawie bieżących danych rynkowych albo EEPE obliczonej przy zastosowaniu kalibracji dla warunków skrajnych, w zależności od tego, która z tych wartości prowadzi do wyższego wymogu w zakresie funduszy własnych.</w:t>
            </w:r>
          </w:p>
          <w:p w14:paraId="1B528B51" w14:textId="77777777" w:rsidR="00F43911" w:rsidRPr="00396116" w:rsidRDefault="00F43911" w:rsidP="004F3087">
            <w:pPr>
              <w:pStyle w:val="Default"/>
              <w:spacing w:after="240"/>
              <w:jc w:val="both"/>
              <w:rPr>
                <w:rFonts w:ascii="Times New Roman" w:hAnsi="Times New Roman" w:cs="Times New Roman"/>
                <w:b/>
              </w:rPr>
            </w:pPr>
            <w:r w:rsidRPr="00396116">
              <w:rPr>
                <w:rFonts w:ascii="Times New Roman" w:hAnsi="Times New Roman"/>
              </w:rPr>
              <w:t xml:space="preserve">W opisie towarzyszącym niniejszemu wzorowi instytucje wskazują, którą EEPE podały. </w:t>
            </w:r>
          </w:p>
        </w:tc>
      </w:tr>
      <w:tr w:rsidR="00F43911" w:rsidRPr="00396116"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396116" w:rsidRDefault="00F43911" w:rsidP="004F3087">
            <w:pPr>
              <w:pStyle w:val="Applicationdirecte"/>
              <w:spacing w:before="0" w:after="240"/>
              <w:jc w:val="center"/>
            </w:pPr>
            <w:r w:rsidRPr="00396116">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396116" w:rsidRDefault="00F43911" w:rsidP="004F3087">
            <w:pPr>
              <w:pStyle w:val="Default"/>
              <w:spacing w:after="240"/>
              <w:jc w:val="both"/>
              <w:rPr>
                <w:rFonts w:ascii="Times New Roman" w:hAnsi="Times New Roman" w:cs="Times New Roman"/>
                <w:b/>
              </w:rPr>
            </w:pPr>
            <w:r w:rsidRPr="00396116">
              <w:rPr>
                <w:rFonts w:ascii="Times New Roman" w:hAnsi="Times New Roman"/>
                <w:b/>
              </w:rPr>
              <w:t>Wartość alfa stosowana do obliczania regulacyjnej wartości ekspozycji</w:t>
            </w:r>
          </w:p>
          <w:p w14:paraId="6B33CCED" w14:textId="4900B432" w:rsidR="00F43911" w:rsidRPr="00396116" w:rsidRDefault="00F43911" w:rsidP="004F3087">
            <w:pPr>
              <w:pStyle w:val="Default"/>
              <w:spacing w:after="240"/>
              <w:jc w:val="both"/>
              <w:rPr>
                <w:rFonts w:ascii="Times New Roman" w:hAnsi="Times New Roman" w:cs="Times New Roman"/>
              </w:rPr>
            </w:pPr>
            <w:r w:rsidRPr="00396116">
              <w:rPr>
                <w:rFonts w:ascii="Times New Roman" w:hAnsi="Times New Roman"/>
              </w:rPr>
              <w:t>Wartość α ustala się na stałe na poziomie 1,4 w wierszach EU-1, EU-2 oraz 1 niniejszego wzoru zgodnie z art. 282 ust. 2, art. 281 ust. 1 i art. 274 ust. 2 rozporządzenia (UE) nr 575/2013.</w:t>
            </w:r>
          </w:p>
          <w:p w14:paraId="3D498F38" w14:textId="1A3CD52A" w:rsidR="00F43911" w:rsidRPr="00396116" w:rsidRDefault="00F43911" w:rsidP="004F3087">
            <w:pPr>
              <w:pStyle w:val="Default"/>
              <w:spacing w:after="240"/>
              <w:jc w:val="both"/>
              <w:rPr>
                <w:rFonts w:ascii="Times New Roman" w:hAnsi="Times New Roman" w:cs="Times New Roman"/>
                <w:b/>
              </w:rPr>
            </w:pPr>
            <w:r w:rsidRPr="00396116">
              <w:rPr>
                <w:rFonts w:ascii="Times New Roman" w:hAnsi="Times New Roman"/>
              </w:rPr>
              <w:t>Do celów IMM wartość α może być wartością domyślną wynoszącą 1,4 albo inną, gdy właściwe organy wymagają wyższej wartości α zgodnie z art. 284 ust. 4 rozporządzenia (UE) nr 575/2013 lub zezwalają instytucjom na stosowanie własnych oszacowań zgodnie z częścią trzecią tytuł II rozdział 6 sekcja 6 art. 284 ust. 9 rozporządzenia (UE) nr 575/2013.</w:t>
            </w:r>
          </w:p>
        </w:tc>
      </w:tr>
      <w:tr w:rsidR="00F43911" w:rsidRPr="00396116"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396116" w:rsidRDefault="00F43911" w:rsidP="004F3087">
            <w:pPr>
              <w:pStyle w:val="Applicationdirecte"/>
              <w:spacing w:before="0" w:after="240"/>
              <w:jc w:val="center"/>
            </w:pPr>
            <w:r w:rsidRPr="00396116">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396116" w:rsidRDefault="00F43911" w:rsidP="004F3087">
            <w:pPr>
              <w:pStyle w:val="TableMainHeading"/>
              <w:spacing w:before="0" w:after="240"/>
              <w:rPr>
                <w:rFonts w:ascii="Times New Roman" w:hAnsi="Times New Roman"/>
                <w:b/>
                <w:sz w:val="24"/>
                <w:szCs w:val="24"/>
              </w:rPr>
            </w:pPr>
            <w:r w:rsidRPr="00396116">
              <w:rPr>
                <w:rFonts w:ascii="Times New Roman" w:hAnsi="Times New Roman"/>
                <w:b/>
                <w:sz w:val="24"/>
              </w:rPr>
              <w:t>Wartość ekspozycji przed ograniczeniem ryzyka kredytowego</w:t>
            </w:r>
          </w:p>
          <w:p w14:paraId="4D1BA8A2" w14:textId="2ACA7816" w:rsidR="00F43911" w:rsidRPr="00396116" w:rsidRDefault="00F43911" w:rsidP="004F3087">
            <w:pPr>
              <w:pStyle w:val="TableMainHeading"/>
              <w:spacing w:before="0" w:after="240"/>
              <w:jc w:val="both"/>
              <w:rPr>
                <w:rFonts w:ascii="Times New Roman" w:hAnsi="Times New Roman"/>
                <w:sz w:val="24"/>
                <w:szCs w:val="24"/>
              </w:rPr>
            </w:pPr>
            <w:r w:rsidRPr="00396116">
              <w:rPr>
                <w:rFonts w:ascii="Times New Roman" w:hAnsi="Times New Roman"/>
                <w:sz w:val="24"/>
              </w:rPr>
              <w:t>Wartość ekspozycji przed ograniczeniem ryzyka kredytowego dla działalności związanej z ryzykiem kredytowym kontrahenta oblicza się zgodnie z metodami określonymi w części trzeciej tytuł II rozdziały 4 i 6 rozporządzenia (UE) nr 575/2013, biorąc pod uwagę skutki kompensowania, lecz pomijając wszelkie inne techniki ograniczania ryzyka kredytowego (np. za pomocą zabezpieczenia w postaci depozytu zabezpieczającego).</w:t>
            </w:r>
          </w:p>
          <w:p w14:paraId="392128FE" w14:textId="77777777" w:rsidR="00F43911" w:rsidRPr="00396116" w:rsidRDefault="00F43911" w:rsidP="004F3087">
            <w:pPr>
              <w:pStyle w:val="TableMainHeading"/>
              <w:spacing w:before="0" w:after="240"/>
              <w:jc w:val="both"/>
              <w:rPr>
                <w:rFonts w:ascii="Times New Roman" w:hAnsi="Times New Roman"/>
                <w:sz w:val="24"/>
                <w:szCs w:val="24"/>
              </w:rPr>
            </w:pPr>
            <w:r w:rsidRPr="00396116">
              <w:rPr>
                <w:rFonts w:ascii="Times New Roman" w:hAnsi="Times New Roman"/>
                <w:sz w:val="24"/>
              </w:rPr>
              <w:t xml:space="preserve">W przypadku transakcji finansowanych z użyciem papierów wartościowych część transakcji obejmująca papiery wartościowe nie jest brana pod uwagę przy ustalaniu wartości ekspozycji przed ograniczeniem ryzyka kredytowego, w przypadku gdy otrzymywane jest zabezpieczenie, i dlatego nie może </w:t>
            </w:r>
            <w:r w:rsidRPr="00396116">
              <w:rPr>
                <w:rFonts w:ascii="Times New Roman" w:hAnsi="Times New Roman"/>
                <w:sz w:val="24"/>
              </w:rPr>
              <w:lastRenderedPageBreak/>
              <w:t xml:space="preserve">zmniejszać wartości ekspozycji. Część transakcji obejmującą papiery wartościowe wykorzystywane w ramach transakcji finansowanej z użyciem papierów wartościowych należy natomiast w normalny sposób brać pod uwagę przy ustalaniu wartości ekspozycji przed ograniczeniem ryzyka kredytowego, w przypadku gdy wnoszone jest zabezpieczenie. </w:t>
            </w:r>
          </w:p>
          <w:p w14:paraId="482E5F75" w14:textId="77777777" w:rsidR="00F43911" w:rsidRPr="00396116" w:rsidRDefault="00F43911" w:rsidP="004F3087">
            <w:pPr>
              <w:pStyle w:val="TableMainHeading"/>
              <w:spacing w:before="0" w:after="240"/>
              <w:jc w:val="both"/>
              <w:rPr>
                <w:rFonts w:ascii="Times New Roman" w:hAnsi="Times New Roman"/>
                <w:sz w:val="24"/>
                <w:szCs w:val="24"/>
              </w:rPr>
            </w:pPr>
            <w:r w:rsidRPr="00396116">
              <w:rPr>
                <w:rFonts w:ascii="Times New Roman" w:hAnsi="Times New Roman"/>
                <w:sz w:val="24"/>
              </w:rPr>
              <w:t>Ponadto zabezpieczoną działalność należy traktować jako niezabezpieczoną, tzn. nie mają zastosowania skutki uzupełniania zabezpieczenia.</w:t>
            </w:r>
          </w:p>
          <w:p w14:paraId="3610D469" w14:textId="346DB6F0"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W przypadku transakcji, w których stwierdzono szczególne ryzyko korelacji, wartość ekspozycji przed ograniczeniem ryzyka kredytowego ustala się zgodnie z art. 291 rozporządzenia (UE) nr 575/2013.</w:t>
            </w:r>
          </w:p>
          <w:p w14:paraId="3EB18FDE" w14:textId="700FF1F2"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W wartości ekspozycji przed ograniczeniem ryzyka kredytowego nie uwzględnia się odliczenia poniesionej straty z tytułu korekty wyceny kredytowej zgodnie z art. 273 ust. 6 rozporządzenia (UE) nr 575/2013.</w:t>
            </w:r>
          </w:p>
          <w:p w14:paraId="3CE91BAE" w14:textId="77777777" w:rsidR="00F43911" w:rsidRPr="00396116" w:rsidRDefault="00F43911" w:rsidP="004F3087">
            <w:pPr>
              <w:spacing w:after="240"/>
              <w:rPr>
                <w:rFonts w:ascii="Times New Roman" w:hAnsi="Times New Roman" w:cs="Times New Roman"/>
                <w:sz w:val="24"/>
              </w:rPr>
            </w:pPr>
            <w:r w:rsidRPr="00396116">
              <w:rPr>
                <w:rFonts w:ascii="Times New Roman" w:hAnsi="Times New Roman"/>
                <w:sz w:val="24"/>
              </w:rPr>
              <w:t>Instytucja jest zobowiązana ujawnić sumę wszystkich wartości ekspozycji przed ograniczeniem ryzyka kredytowego w odpowiednim wierszu.</w:t>
            </w:r>
          </w:p>
        </w:tc>
      </w:tr>
      <w:tr w:rsidR="00F43911" w:rsidRPr="00396116"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396116" w:rsidRDefault="00F43911" w:rsidP="004F3087">
            <w:pPr>
              <w:pStyle w:val="Applicationdirecte"/>
              <w:spacing w:before="0" w:after="240"/>
              <w:jc w:val="center"/>
            </w:pPr>
            <w:r w:rsidRPr="00396116">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396116" w:rsidRDefault="00F43911" w:rsidP="004F3087">
            <w:pPr>
              <w:pStyle w:val="TableMainHeading"/>
              <w:spacing w:before="0" w:after="240"/>
              <w:rPr>
                <w:rFonts w:ascii="Times New Roman" w:hAnsi="Times New Roman"/>
                <w:b/>
                <w:sz w:val="24"/>
                <w:szCs w:val="24"/>
              </w:rPr>
            </w:pPr>
            <w:r w:rsidRPr="00396116">
              <w:rPr>
                <w:rFonts w:ascii="Times New Roman" w:hAnsi="Times New Roman"/>
                <w:b/>
                <w:sz w:val="24"/>
              </w:rPr>
              <w:t>Wartość ekspozycji (po ograniczeniu ryzyka kredytowego)</w:t>
            </w:r>
          </w:p>
          <w:p w14:paraId="4C374AEE" w14:textId="5BC2862E" w:rsidR="00F43911" w:rsidRPr="00396116" w:rsidRDefault="00F43911" w:rsidP="004F3087">
            <w:pPr>
              <w:pStyle w:val="TableMainHeading"/>
              <w:spacing w:before="0" w:after="240"/>
              <w:jc w:val="both"/>
              <w:rPr>
                <w:rFonts w:ascii="Times New Roman" w:hAnsi="Times New Roman"/>
                <w:sz w:val="24"/>
                <w:szCs w:val="24"/>
              </w:rPr>
            </w:pPr>
            <w:r w:rsidRPr="00396116">
              <w:rPr>
                <w:rFonts w:ascii="Times New Roman" w:hAnsi="Times New Roman"/>
                <w:sz w:val="24"/>
              </w:rPr>
              <w:t>Wartość ekspozycji po ograniczeniu ryzyka kredytowego dla działalności związanej z ryzykiem kredytowym kontrahenta oblicza się zgodnie z metodami określonymi w części trzeciej tytuł II rozdziały 4 i 6 rozporządzenia (UE) nr 575/2013, po zastosowaniu technik ograniczania ryzyka kredytowego stosowanych zgodnie z częścią trzecią tytuł II rozdziały 4 i 6 rozporządzenia (UE) nr 575/2013</w:t>
            </w:r>
          </w:p>
          <w:p w14:paraId="00427D02" w14:textId="50A27684"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W przypadku transakcji, w których stwierdzono szczególne ryzyko korelacji, wartość ekspozycji ustala się zgodnie z art. 291 rozporządzenia (UE) nr 575/2013.</w:t>
            </w:r>
          </w:p>
          <w:p w14:paraId="11C26276" w14:textId="03A97DB3"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Zgodnie z art. 273 ust. 6 rozporządzenia (UE) nr 575/2013 od wartości ekspozycji po ograniczeniu ryzyka kredytowego nie odlicza się poniesionej straty z tytułu korekty wyceny kredytowej.</w:t>
            </w:r>
          </w:p>
          <w:p w14:paraId="69480D33" w14:textId="77777777" w:rsidR="00F43911" w:rsidRPr="00396116" w:rsidRDefault="00F43911" w:rsidP="004F3087">
            <w:pPr>
              <w:spacing w:after="240"/>
              <w:rPr>
                <w:rFonts w:ascii="Times New Roman" w:hAnsi="Times New Roman" w:cs="Times New Roman"/>
                <w:sz w:val="24"/>
              </w:rPr>
            </w:pPr>
            <w:r w:rsidRPr="00396116">
              <w:rPr>
                <w:rFonts w:ascii="Times New Roman" w:hAnsi="Times New Roman"/>
                <w:sz w:val="24"/>
              </w:rPr>
              <w:t>Instytucja jest zobowiązana ujawnić sumę wszystkich wartości ekspozycji po ograniczeniu ryzyka kredytowego w odpowiednim wierszu.</w:t>
            </w:r>
          </w:p>
        </w:tc>
      </w:tr>
      <w:tr w:rsidR="00F43911" w:rsidRPr="00396116"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396116" w:rsidRDefault="00F43911" w:rsidP="004F3087">
            <w:pPr>
              <w:pStyle w:val="Applicationdirecte"/>
              <w:spacing w:before="0" w:after="240"/>
              <w:jc w:val="center"/>
            </w:pPr>
            <w:r w:rsidRPr="00396116">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396116" w:rsidRDefault="00F43911" w:rsidP="004F3087">
            <w:pPr>
              <w:pStyle w:val="TableMainHeading"/>
              <w:spacing w:before="0" w:after="240"/>
              <w:rPr>
                <w:rFonts w:ascii="Times New Roman" w:hAnsi="Times New Roman"/>
                <w:b/>
                <w:sz w:val="24"/>
                <w:szCs w:val="24"/>
              </w:rPr>
            </w:pPr>
            <w:r w:rsidRPr="00396116">
              <w:rPr>
                <w:rFonts w:ascii="Times New Roman" w:hAnsi="Times New Roman"/>
                <w:b/>
                <w:sz w:val="24"/>
              </w:rPr>
              <w:t>Wartość ekspozycji</w:t>
            </w:r>
          </w:p>
          <w:p w14:paraId="48F8B1EB" w14:textId="504B8CE3" w:rsidR="00F43911" w:rsidRPr="00396116" w:rsidRDefault="00F43911" w:rsidP="004F3087">
            <w:pPr>
              <w:pStyle w:val="TableMainHeading"/>
              <w:spacing w:before="0" w:after="240"/>
              <w:jc w:val="both"/>
              <w:rPr>
                <w:rFonts w:ascii="Times New Roman" w:hAnsi="Times New Roman"/>
                <w:sz w:val="24"/>
                <w:szCs w:val="24"/>
              </w:rPr>
            </w:pPr>
            <w:r w:rsidRPr="00396116">
              <w:rPr>
                <w:rFonts w:ascii="Times New Roman" w:hAnsi="Times New Roman"/>
                <w:sz w:val="24"/>
              </w:rPr>
              <w:t>Wartość ekspozycji dla działalności związanej z ryzykiem kredytowym kontrahenta obliczoną zgodnie z metodami określonymi w części trzeciej tytuł II rozdziały 4 i 6 rozporządzenia (UE) nr 575/2013, która jest kwotą istotną dla obliczenia wymogów w zakresie funduszy własnych, tj. po zastosowaniu technik ograniczania ryzyka kredytowego stosowanych zgodnie z częścią trzecią tytuł II rozdziały 4 i 6 rozporządzenia (UE) nr 575/2013, oraz uwzględniając odliczenie poniesionej straty z tytułu korekty wyceny kredytowej zgodnie z art. 273 ust. 6 rozporządzenia (UE) nr 575/2013.</w:t>
            </w:r>
          </w:p>
          <w:p w14:paraId="07CE657B" w14:textId="7D68C218"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lastRenderedPageBreak/>
              <w:t>Wartość ekspozycji dla transakcji, w których stwierdzono szczególne ryzyko korelacji, ustala się zgodnie z art. 291 rozporządzenia (UE) nr 575/2013.</w:t>
            </w:r>
          </w:p>
          <w:p w14:paraId="1417E2BF" w14:textId="77777777"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W przypadkach, w których stosuje się więcej niż jedną metodę obliczania ryzyka kredytowego kontrahenta w odniesieniu do jednego kontrahenta, poniesioną stratę z tytułu korekty wyceny kredytowej, którą odlicza się na poziomie kontrahenta, przypisuje się do wartości ekspozycji poszczególnych pakietów kompensowania w każdej metodzie obliczania ryzyka kredytowego kontrahenta, odzwierciedlając stosunek wartości ekspozycji po ograniczeniu ryzyka kredytowego odpowiednich pakietów kompensowania do całkowitej wartości ekspozycji po ograniczeniu ryzyka kredytowego kontrahenta.</w:t>
            </w:r>
          </w:p>
          <w:p w14:paraId="736282AA" w14:textId="77777777" w:rsidR="00F43911" w:rsidRPr="00396116" w:rsidRDefault="00F43911" w:rsidP="004F3087">
            <w:pPr>
              <w:spacing w:after="240"/>
              <w:rPr>
                <w:rFonts w:ascii="Times New Roman" w:hAnsi="Times New Roman" w:cs="Times New Roman"/>
                <w:sz w:val="24"/>
              </w:rPr>
            </w:pPr>
            <w:r w:rsidRPr="00396116">
              <w:rPr>
                <w:rFonts w:ascii="Times New Roman" w:hAnsi="Times New Roman"/>
                <w:sz w:val="24"/>
              </w:rPr>
              <w:t>Instytucja jest zobowiązana ujawnić sumę wszystkich wartości ekspozycji po ograniczeniu ryzyka kredytowego w odpowiednim wierszu.</w:t>
            </w:r>
          </w:p>
        </w:tc>
      </w:tr>
      <w:tr w:rsidR="00F43911" w:rsidRPr="00396116"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396116" w:rsidRDefault="00F43911" w:rsidP="004F3087">
            <w:pPr>
              <w:pStyle w:val="Applicationdirecte"/>
              <w:spacing w:before="0" w:after="240"/>
              <w:jc w:val="center"/>
            </w:pPr>
            <w:r w:rsidRPr="00396116">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396116" w:rsidRDefault="00F43911" w:rsidP="004F3087">
            <w:pPr>
              <w:pStyle w:val="TableMainHeading"/>
              <w:spacing w:before="0" w:after="240"/>
              <w:rPr>
                <w:rFonts w:ascii="Times New Roman" w:hAnsi="Times New Roman"/>
                <w:b/>
                <w:sz w:val="24"/>
                <w:szCs w:val="24"/>
              </w:rPr>
            </w:pPr>
            <w:r w:rsidRPr="00396116">
              <w:rPr>
                <w:rFonts w:ascii="Times New Roman" w:hAnsi="Times New Roman"/>
                <w:b/>
                <w:sz w:val="24"/>
              </w:rPr>
              <w:t>Kwoty ekspozycji ważonej ryzykiem</w:t>
            </w:r>
          </w:p>
          <w:p w14:paraId="26B75465" w14:textId="746E1CAE" w:rsidR="00F43911" w:rsidRPr="00396116" w:rsidRDefault="00F43911" w:rsidP="004F3087">
            <w:pPr>
              <w:pStyle w:val="TableMainHeading"/>
              <w:spacing w:before="0" w:after="240"/>
              <w:jc w:val="both"/>
              <w:rPr>
                <w:rFonts w:ascii="Times New Roman" w:hAnsi="Times New Roman"/>
                <w:sz w:val="24"/>
                <w:szCs w:val="24"/>
              </w:rPr>
            </w:pPr>
            <w:r w:rsidRPr="00396116">
              <w:rPr>
                <w:rFonts w:ascii="Times New Roman" w:hAnsi="Times New Roman"/>
                <w:sz w:val="24"/>
              </w:rPr>
              <w:t>Kwoty ekspozycji ważonej ryzykiem, określone w art. 92 ust. 3 i 4 rozporządzenia (UE) nr 575/2013 oraz obliczone zgodnie z art. 107 rozporządzenia (UE) nr 575/2013, dla elementów, których wagi ryzyka szacuje się na podstawie wymogów określonych w części trzeciej tytuł II rozdziały 2 i 3 rozporządzenia (UE) nr 575/2013 i dla których wartość ekspozycji dla działalności związanej z ryzykiem kredytowym kontrahenta oblicza się zgodnie z częścią trzecią tytuł II rozdziały 4 i 6 rozporządzenia (UE) nr 575/2013.</w:t>
            </w:r>
          </w:p>
        </w:tc>
      </w:tr>
    </w:tbl>
    <w:p w14:paraId="06E4BA45" w14:textId="77777777" w:rsidR="007D4C3D" w:rsidRPr="00396116" w:rsidRDefault="007D4C3D" w:rsidP="00F43911">
      <w:pPr>
        <w:pStyle w:val="Titlelevel2"/>
        <w:jc w:val="both"/>
        <w:rPr>
          <w:rFonts w:ascii="Times New Roman" w:hAnsi="Times New Roman" w:cs="Times New Roman"/>
          <w:b/>
          <w:color w:val="auto"/>
          <w:sz w:val="24"/>
        </w:rPr>
      </w:pPr>
    </w:p>
    <w:p w14:paraId="518FC88E" w14:textId="345A4A64" w:rsidR="00F43911" w:rsidRPr="00396116" w:rsidRDefault="00F43911" w:rsidP="00F43911">
      <w:pPr>
        <w:pStyle w:val="Titlelevel2"/>
        <w:jc w:val="both"/>
        <w:rPr>
          <w:rFonts w:ascii="Times New Roman" w:hAnsi="Times New Roman" w:cs="Times New Roman"/>
          <w:color w:val="auto"/>
          <w:sz w:val="24"/>
        </w:rPr>
      </w:pPr>
      <w:r w:rsidRPr="00396116">
        <w:rPr>
          <w:rFonts w:ascii="Times New Roman" w:hAnsi="Times New Roman"/>
          <w:b/>
          <w:color w:val="auto"/>
          <w:sz w:val="24"/>
        </w:rPr>
        <w:t xml:space="preserve">Wzór EU CCR3 – Metoda standardowa – ekspozycje na ryzyko kredytowe kontrahenta (CCR) według regulacyjnych kategorii ekspozycji i wag ryzyka. </w:t>
      </w:r>
      <w:r w:rsidRPr="00396116">
        <w:rPr>
          <w:rFonts w:ascii="Times New Roman" w:hAnsi="Times New Roman"/>
          <w:color w:val="auto"/>
          <w:sz w:val="24"/>
        </w:rPr>
        <w:t>Format stały</w:t>
      </w:r>
    </w:p>
    <w:p w14:paraId="140DD484" w14:textId="71C4BF75" w:rsidR="00F43911" w:rsidRPr="00396116"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396116">
        <w:rPr>
          <w:rFonts w:ascii="Times New Roman" w:hAnsi="Times New Roman"/>
          <w:color w:val="000000"/>
          <w:sz w:val="24"/>
        </w:rPr>
        <w:t>W celu wypełnienia wzoru EU CCR3 zamieszczonego w załączniku XXV do rozwiązań informatycznych EUNB instytucje ujawniają informacje, o których mowa w art. 444 lit. e) rozporządzenia (UE) nr 575/2013, zgodnie z poniższymi instrukcjami zawartymi w niniejszym załączniku.</w:t>
      </w:r>
    </w:p>
    <w:p w14:paraId="719E9920" w14:textId="53B7429A" w:rsidR="00F43911" w:rsidRPr="00396116"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396116">
        <w:rPr>
          <w:rFonts w:ascii="Times New Roman" w:hAnsi="Times New Roman"/>
          <w:color w:val="000000"/>
          <w:sz w:val="24"/>
        </w:rPr>
        <w:t>Instytucje stosujące standardową metodę oceny ryzyka kredytowego do obliczania kwot ekspozycji ważonych ryzykiem (wyłączając kwoty ekspozycji wyprowadzone z wymogów w zakresie funduszy własnych z tytułu ryzyka związanego z korektą wyceny kredytowej i kwoty ekspozycji rozliczonych za pośrednictwem kontrahenta centralnego) ujawniają poniższe informacje dla wszystkich lub części swoich ekspozycji na ryzyko kredytowe kontrahenta zgodnie z art. 107 rozporządzenia (UE) nr 575/2013, niezależnie od metody oceny ryzyka kredytowego kontrahenta stosowanej do ustalenia wartości ekspozycji zgodnie z częścią trzecią tytuł II rozdziały 4 i 6 rozporządzenia (UE) nr 575/2013.</w:t>
      </w:r>
      <w:r w:rsidRPr="00396116">
        <w:rPr>
          <w:rFonts w:ascii="Times New Roman" w:hAnsi="Times New Roman"/>
          <w:color w:val="auto"/>
          <w:sz w:val="24"/>
        </w:rPr>
        <w:t xml:space="preserve"> </w:t>
      </w:r>
    </w:p>
    <w:p w14:paraId="6C656446" w14:textId="77777777" w:rsidR="00F43911" w:rsidRPr="00396116"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396116">
        <w:rPr>
          <w:rFonts w:ascii="Times New Roman" w:hAnsi="Times New Roman"/>
          <w:color w:val="000000"/>
          <w:sz w:val="24"/>
        </w:rPr>
        <w:t xml:space="preserve">Jeżeli instytucja uzna, że informacje, które należy zawrzeć w niniejszym wzorze, nie są istotne, ponieważ kwoty ekspozycji i ekspozycji ważonej ryzykiem są nieznaczne, instytucja może podjąć decyzję o nieujawnianiu wzoru. W takim przypadku instytucja jest jednak zobowiązana wyjaśnić w uwagach zamieszczonych w opisie, dlaczego </w:t>
      </w:r>
      <w:r w:rsidRPr="00396116">
        <w:rPr>
          <w:rFonts w:ascii="Times New Roman" w:hAnsi="Times New Roman"/>
          <w:color w:val="000000"/>
          <w:sz w:val="24"/>
        </w:rPr>
        <w:lastRenderedPageBreak/>
        <w:t>uznała stosowne informacje za nieistotne, oraz opisać ekspozycje w odpowiednich portfelach i podać zagregowane łączne kwoty ekspozycji ważonych ryzykiem z tytułu takich ekspozycji.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396116"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396116" w:rsidRDefault="00F43911" w:rsidP="004F3087">
            <w:pPr>
              <w:spacing w:after="240"/>
              <w:rPr>
                <w:rFonts w:ascii="Times New Roman" w:hAnsi="Times New Roman" w:cs="Times New Roman"/>
                <w:b/>
                <w:sz w:val="24"/>
              </w:rPr>
            </w:pPr>
            <w:r w:rsidRPr="00396116">
              <w:rPr>
                <w:rFonts w:ascii="Times New Roman" w:hAnsi="Times New Roman"/>
                <w:b/>
                <w:sz w:val="24"/>
              </w:rPr>
              <w:t>Odniesienia prawne i instrukcje</w:t>
            </w:r>
          </w:p>
        </w:tc>
      </w:tr>
      <w:tr w:rsidR="00F43911" w:rsidRPr="00396116" w14:paraId="5AB7769D" w14:textId="77777777" w:rsidTr="004F3087">
        <w:trPr>
          <w:trHeight w:val="238"/>
        </w:trPr>
        <w:tc>
          <w:tcPr>
            <w:tcW w:w="1384" w:type="dxa"/>
            <w:shd w:val="clear" w:color="auto" w:fill="D9D9D9" w:themeFill="background1" w:themeFillShade="D9"/>
          </w:tcPr>
          <w:p w14:paraId="6C8972D4" w14:textId="6ECC0E5A" w:rsidR="00F43911" w:rsidRPr="00396116" w:rsidRDefault="00365E5D" w:rsidP="004F3087">
            <w:pPr>
              <w:autoSpaceDE w:val="0"/>
              <w:autoSpaceDN w:val="0"/>
              <w:adjustRightInd w:val="0"/>
              <w:spacing w:after="240"/>
              <w:rPr>
                <w:rFonts w:ascii="Times New Roman" w:hAnsi="Times New Roman" w:cs="Times New Roman"/>
                <w:b/>
                <w:sz w:val="24"/>
              </w:rPr>
            </w:pPr>
            <w:r w:rsidRPr="00396116">
              <w:rPr>
                <w:rFonts w:ascii="Times New Roman" w:hAnsi="Times New Roman"/>
                <w:b/>
                <w:sz w:val="24"/>
              </w:rPr>
              <w:t>Oznaczenie wiersza</w:t>
            </w:r>
          </w:p>
        </w:tc>
        <w:tc>
          <w:tcPr>
            <w:tcW w:w="7655" w:type="dxa"/>
            <w:shd w:val="clear" w:color="auto" w:fill="D9D9D9" w:themeFill="background1" w:themeFillShade="D9"/>
          </w:tcPr>
          <w:p w14:paraId="700714D7" w14:textId="77777777" w:rsidR="00F43911" w:rsidRPr="00396116" w:rsidRDefault="00F43911" w:rsidP="004F3087">
            <w:pPr>
              <w:autoSpaceDE w:val="0"/>
              <w:autoSpaceDN w:val="0"/>
              <w:adjustRightInd w:val="0"/>
              <w:spacing w:after="240"/>
              <w:rPr>
                <w:rFonts w:ascii="Times New Roman" w:hAnsi="Times New Roman" w:cs="Times New Roman"/>
                <w:color w:val="000000"/>
                <w:sz w:val="24"/>
              </w:rPr>
            </w:pPr>
            <w:r w:rsidRPr="00396116">
              <w:rPr>
                <w:rFonts w:ascii="Times New Roman" w:hAnsi="Times New Roman"/>
                <w:b/>
                <w:sz w:val="24"/>
              </w:rPr>
              <w:t>Wyjaśnienie</w:t>
            </w:r>
          </w:p>
        </w:tc>
      </w:tr>
      <w:tr w:rsidR="00F43911" w:rsidRPr="00396116" w14:paraId="2810F45B" w14:textId="77777777" w:rsidTr="004F3087">
        <w:trPr>
          <w:trHeight w:val="680"/>
        </w:trPr>
        <w:tc>
          <w:tcPr>
            <w:tcW w:w="1384" w:type="dxa"/>
          </w:tcPr>
          <w:p w14:paraId="4B4E3E46" w14:textId="6400F304" w:rsidR="00F43911" w:rsidRPr="00396116" w:rsidRDefault="00F43911" w:rsidP="004F3087">
            <w:pPr>
              <w:pStyle w:val="Applicationdirecte"/>
              <w:spacing w:before="0" w:after="240"/>
              <w:jc w:val="center"/>
            </w:pPr>
            <w:r w:rsidRPr="00396116">
              <w:t>1</w:t>
            </w:r>
            <w:r w:rsidR="002149B1" w:rsidRPr="00396116">
              <w:t>–</w:t>
            </w:r>
            <w:r w:rsidRPr="00396116">
              <w:t>9</w:t>
            </w:r>
          </w:p>
        </w:tc>
        <w:tc>
          <w:tcPr>
            <w:tcW w:w="7655" w:type="dxa"/>
            <w:vAlign w:val="center"/>
          </w:tcPr>
          <w:p w14:paraId="13B7EA16" w14:textId="77777777" w:rsidR="00F43911" w:rsidRPr="00396116" w:rsidRDefault="00F43911" w:rsidP="004F3087">
            <w:pPr>
              <w:spacing w:after="240"/>
              <w:jc w:val="both"/>
              <w:rPr>
                <w:rFonts w:ascii="Times New Roman" w:eastAsia="Times New Roman" w:hAnsi="Times New Roman" w:cs="Times New Roman"/>
                <w:b/>
                <w:sz w:val="24"/>
              </w:rPr>
            </w:pPr>
            <w:r w:rsidRPr="00396116">
              <w:rPr>
                <w:rFonts w:ascii="Times New Roman" w:hAnsi="Times New Roman"/>
                <w:b/>
                <w:sz w:val="24"/>
              </w:rPr>
              <w:t>Kategorie ekspozycji</w:t>
            </w:r>
          </w:p>
          <w:p w14:paraId="119BFBA0" w14:textId="3882FF9D" w:rsidR="00F43911" w:rsidRPr="00396116" w:rsidRDefault="00F43911" w:rsidP="004F3087">
            <w:pPr>
              <w:spacing w:after="240"/>
              <w:jc w:val="both"/>
              <w:rPr>
                <w:rFonts w:ascii="Times New Roman" w:eastAsia="Times New Roman" w:hAnsi="Times New Roman" w:cs="Times New Roman"/>
                <w:sz w:val="24"/>
              </w:rPr>
            </w:pPr>
            <w:r w:rsidRPr="00396116">
              <w:rPr>
                <w:rFonts w:ascii="Times New Roman" w:hAnsi="Times New Roman"/>
                <w:sz w:val="24"/>
              </w:rPr>
              <w:t xml:space="preserve">Przedmiotowe wiersze odnoszą się do regulacyjnych kategorii ekspozycji zdefiniowanych w części trzeciej tytuł II rozdział 4 art. 112–134 rozporządzenia (UE) nr 575/2013. W każdej linijce należy ujawnić odpowiednie wartości ekspozycji (zob. definicja przedstawiona w kolumnie </w:t>
            </w:r>
            <w:r w:rsidRPr="00396116">
              <w:rPr>
                <w:rFonts w:ascii="Times New Roman" w:hAnsi="Times New Roman"/>
                <w:i/>
                <w:iCs/>
                <w:sz w:val="24"/>
              </w:rPr>
              <w:t>g</w:t>
            </w:r>
            <w:r w:rsidRPr="00396116">
              <w:rPr>
                <w:rFonts w:ascii="Times New Roman" w:hAnsi="Times New Roman"/>
                <w:sz w:val="24"/>
              </w:rPr>
              <w:t xml:space="preserve"> wzoru EU CCR1). </w:t>
            </w:r>
          </w:p>
        </w:tc>
      </w:tr>
      <w:tr w:rsidR="00F43911" w:rsidRPr="00396116" w14:paraId="24450E66" w14:textId="77777777" w:rsidTr="004F3087">
        <w:trPr>
          <w:trHeight w:val="680"/>
        </w:trPr>
        <w:tc>
          <w:tcPr>
            <w:tcW w:w="1384" w:type="dxa"/>
          </w:tcPr>
          <w:p w14:paraId="2D7B089F" w14:textId="77777777" w:rsidR="00F43911" w:rsidRPr="00396116" w:rsidRDefault="00F43911" w:rsidP="004F3087">
            <w:pPr>
              <w:pStyle w:val="Applicationdirecte"/>
              <w:spacing w:before="0" w:after="240"/>
              <w:jc w:val="center"/>
            </w:pPr>
            <w:r w:rsidRPr="00396116">
              <w:t>10</w:t>
            </w:r>
          </w:p>
        </w:tc>
        <w:tc>
          <w:tcPr>
            <w:tcW w:w="7655" w:type="dxa"/>
            <w:vAlign w:val="center"/>
          </w:tcPr>
          <w:p w14:paraId="64069320" w14:textId="77777777" w:rsidR="00F43911" w:rsidRPr="00396116" w:rsidRDefault="00F43911" w:rsidP="004F3087">
            <w:pPr>
              <w:spacing w:after="240"/>
              <w:jc w:val="both"/>
              <w:rPr>
                <w:rFonts w:ascii="Times New Roman" w:eastAsia="Times New Roman" w:hAnsi="Times New Roman" w:cs="Times New Roman"/>
                <w:b/>
                <w:sz w:val="24"/>
              </w:rPr>
            </w:pPr>
            <w:r w:rsidRPr="00396116">
              <w:rPr>
                <w:rFonts w:ascii="Times New Roman" w:hAnsi="Times New Roman"/>
                <w:b/>
                <w:sz w:val="24"/>
              </w:rPr>
              <w:t>Inne pozycje</w:t>
            </w:r>
          </w:p>
          <w:p w14:paraId="6B472AE2" w14:textId="1813D901" w:rsidR="00F43911" w:rsidRPr="00396116" w:rsidRDefault="00F43911" w:rsidP="004F3087">
            <w:pPr>
              <w:spacing w:after="240"/>
              <w:jc w:val="both"/>
              <w:rPr>
                <w:rFonts w:ascii="Times New Roman" w:eastAsia="Times New Roman" w:hAnsi="Times New Roman" w:cs="Times New Roman"/>
                <w:sz w:val="24"/>
              </w:rPr>
            </w:pPr>
            <w:r w:rsidRPr="00396116">
              <w:rPr>
                <w:rFonts w:ascii="Times New Roman" w:hAnsi="Times New Roman"/>
                <w:sz w:val="24"/>
              </w:rPr>
              <w:t>Wiersz ten odnosi się do aktywów podlegających określonej wadze ryzyka ustanowionej w części trzeciej tytuł II rozdział 4 art. 134 rozporządzenia (UE) nr 575/2013 i wszelkich innych pozycji nieujętych w wierszach 1–9 niniejszego wzoru. Odnosi się on również do aktywów, które nie podlegają odliczeniu zgodnie z art. 39 rozporządzenia (UE) nr 575/2013 (nadpłaty podatku, straty podatkowe przeniesione na poprzednie lata raz aktywa z tytułu odroczonego podatku dochodowego nieoparte na przyszłej rentowności), art. 41 rozporządzenia (UE) nr 575/2013 (aktywa funduszu emerytalnego ze zdefiniowanymi świadczeniami), art. 46 i 469 rozporządzenia (UE) nr 575/2013 (nieznaczne inwestycje w kapitał podstawowy Tier I podmiotów sektora finansowego), art. 49 i 471 rozporządzenia (UE) nr 575/2013 (udziały w podmiotach ubezpieczeniowych, niezależnie od tego, czy podmioty ubezpieczeniowe są objęte nadzorem zgodnie z przepisami dyrektywy w sprawie konglomeratów, czy też nie), art. 60 i 475 rozporządzenia (UE) nr 575/2013 (nieznaczne i znaczne pośrednie inwestycje w kapitał dodatkowy Tier I podmiotów sektora finansowego), art. 70 i 477 rozporządzenia (UE) nr 575/2013 (nieznaczne i znaczne pośrednie i syntetyczne udziały w kapitale Tier II podmiotu sektora finansowego), jeżeli nie przydzielono ich do innych kategorii ekspozycji, oraz do znacznych pakietów akcji poza sektorem finansowym, które nie kwalifikują się do wagi ryzyka równej 1 250 % zgodnie z częścią drugą tytuł I rozdział 2 art. 36 lit. k) rozporządzenia (UE) nr 575/2013.</w:t>
            </w:r>
          </w:p>
        </w:tc>
      </w:tr>
      <w:tr w:rsidR="00F43911" w:rsidRPr="00396116" w14:paraId="40CEECAA" w14:textId="77777777" w:rsidTr="004F3087">
        <w:trPr>
          <w:trHeight w:val="680"/>
        </w:trPr>
        <w:tc>
          <w:tcPr>
            <w:tcW w:w="1384" w:type="dxa"/>
          </w:tcPr>
          <w:p w14:paraId="084620EC" w14:textId="77777777" w:rsidR="00F43911" w:rsidRPr="00396116" w:rsidRDefault="00F43911" w:rsidP="004F3087">
            <w:pPr>
              <w:pStyle w:val="Applicationdirecte"/>
              <w:spacing w:before="0" w:after="240"/>
              <w:jc w:val="center"/>
            </w:pPr>
            <w:r w:rsidRPr="00396116">
              <w:t>11</w:t>
            </w:r>
          </w:p>
        </w:tc>
        <w:tc>
          <w:tcPr>
            <w:tcW w:w="7655" w:type="dxa"/>
            <w:vAlign w:val="center"/>
          </w:tcPr>
          <w:p w14:paraId="0569A440" w14:textId="77777777" w:rsidR="00F43911" w:rsidRPr="00396116" w:rsidRDefault="00F43911" w:rsidP="004F3087">
            <w:pPr>
              <w:spacing w:after="240"/>
              <w:jc w:val="both"/>
              <w:rPr>
                <w:rFonts w:ascii="Times New Roman" w:eastAsia="Times New Roman" w:hAnsi="Times New Roman" w:cs="Times New Roman"/>
                <w:b/>
                <w:sz w:val="24"/>
              </w:rPr>
            </w:pPr>
            <w:r w:rsidRPr="00396116">
              <w:rPr>
                <w:rFonts w:ascii="Times New Roman" w:hAnsi="Times New Roman"/>
                <w:b/>
                <w:sz w:val="24"/>
              </w:rPr>
              <w:t>Całkowita wartość ekspozycji</w:t>
            </w:r>
          </w:p>
        </w:tc>
      </w:tr>
      <w:tr w:rsidR="00F43911" w:rsidRPr="00396116"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396116" w:rsidRDefault="00F43911" w:rsidP="004F3087">
            <w:pPr>
              <w:pStyle w:val="Applicationdirecte"/>
              <w:spacing w:before="0" w:after="240"/>
              <w:jc w:val="center"/>
              <w:rPr>
                <w:b/>
              </w:rPr>
            </w:pPr>
            <w:r w:rsidRPr="00396116">
              <w:rPr>
                <w:b/>
              </w:rPr>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396116" w:rsidRDefault="00F43911" w:rsidP="004F3087">
            <w:pPr>
              <w:pStyle w:val="TableMainHeading"/>
              <w:spacing w:before="0" w:after="240"/>
              <w:rPr>
                <w:rFonts w:ascii="Times New Roman" w:hAnsi="Times New Roman"/>
                <w:b/>
                <w:sz w:val="24"/>
                <w:szCs w:val="24"/>
              </w:rPr>
            </w:pPr>
            <w:r w:rsidRPr="00396116">
              <w:rPr>
                <w:rFonts w:ascii="Times New Roman" w:hAnsi="Times New Roman"/>
                <w:b/>
                <w:sz w:val="24"/>
              </w:rPr>
              <w:t>Wyjaśnienie</w:t>
            </w:r>
          </w:p>
        </w:tc>
      </w:tr>
      <w:tr w:rsidR="00F43911" w:rsidRPr="00396116" w14:paraId="32077C70" w14:textId="77777777" w:rsidTr="004F3087">
        <w:trPr>
          <w:trHeight w:val="680"/>
        </w:trPr>
        <w:tc>
          <w:tcPr>
            <w:tcW w:w="1384" w:type="dxa"/>
          </w:tcPr>
          <w:p w14:paraId="39F1752F" w14:textId="77777777" w:rsidR="00F43911" w:rsidRPr="00396116" w:rsidRDefault="00F43911" w:rsidP="004F3087">
            <w:pPr>
              <w:pStyle w:val="Applicationdirecte"/>
              <w:spacing w:before="0" w:after="240"/>
              <w:jc w:val="center"/>
            </w:pPr>
            <w:r w:rsidRPr="00396116">
              <w:t>a–k</w:t>
            </w:r>
          </w:p>
          <w:p w14:paraId="7F295BCB" w14:textId="77777777" w:rsidR="00F43911" w:rsidRPr="00396116" w:rsidRDefault="00F43911" w:rsidP="004F3087">
            <w:pPr>
              <w:spacing w:after="240"/>
              <w:jc w:val="center"/>
              <w:rPr>
                <w:rFonts w:ascii="Times New Roman" w:hAnsi="Times New Roman" w:cs="Times New Roman"/>
                <w:sz w:val="24"/>
              </w:rPr>
            </w:pPr>
          </w:p>
        </w:tc>
        <w:tc>
          <w:tcPr>
            <w:tcW w:w="7655" w:type="dxa"/>
            <w:vAlign w:val="center"/>
          </w:tcPr>
          <w:p w14:paraId="70B38523" w14:textId="4C78B73B" w:rsidR="00F43911" w:rsidRPr="00396116" w:rsidRDefault="00F43911" w:rsidP="004F3087">
            <w:pPr>
              <w:spacing w:after="240"/>
              <w:jc w:val="both"/>
              <w:rPr>
                <w:rFonts w:ascii="Times New Roman" w:eastAsia="Times New Roman" w:hAnsi="Times New Roman" w:cs="Times New Roman"/>
                <w:i/>
                <w:sz w:val="24"/>
              </w:rPr>
            </w:pPr>
            <w:r w:rsidRPr="00396116">
              <w:rPr>
                <w:rFonts w:ascii="Times New Roman" w:hAnsi="Times New Roman"/>
                <w:sz w:val="24"/>
              </w:rPr>
              <w:t xml:space="preserve">Przedmiotowe kolumny odnoszą się do etapów oceny jakości ryzyka kredytowego/wag ryzyka określonych w części trzeciej tytuł II rozdział 2 rozporządzenia (UE) nr 575/2013, dla których należy ujawnić odpowiednie </w:t>
            </w:r>
            <w:r w:rsidRPr="00396116">
              <w:rPr>
                <w:rFonts w:ascii="Times New Roman" w:hAnsi="Times New Roman"/>
                <w:sz w:val="24"/>
              </w:rPr>
              <w:lastRenderedPageBreak/>
              <w:t xml:space="preserve">wartości ekspozycji (zob. definicja przedstawiona w kolumnie </w:t>
            </w:r>
            <w:r w:rsidRPr="00396116">
              <w:rPr>
                <w:rFonts w:ascii="Times New Roman" w:hAnsi="Times New Roman"/>
                <w:i/>
                <w:iCs/>
                <w:sz w:val="24"/>
              </w:rPr>
              <w:t>g</w:t>
            </w:r>
            <w:r w:rsidRPr="00396116">
              <w:rPr>
                <w:rFonts w:ascii="Times New Roman" w:hAnsi="Times New Roman"/>
                <w:sz w:val="24"/>
              </w:rPr>
              <w:t xml:space="preserve"> wzoru EU CCR1). </w:t>
            </w:r>
          </w:p>
        </w:tc>
      </w:tr>
      <w:tr w:rsidR="00F43911" w:rsidRPr="00396116" w14:paraId="7038985C" w14:textId="77777777" w:rsidTr="004F3087">
        <w:trPr>
          <w:trHeight w:val="680"/>
        </w:trPr>
        <w:tc>
          <w:tcPr>
            <w:tcW w:w="1384" w:type="dxa"/>
          </w:tcPr>
          <w:p w14:paraId="643D9DBE" w14:textId="77777777" w:rsidR="00F43911" w:rsidRPr="00396116" w:rsidRDefault="00F43911" w:rsidP="004F3087">
            <w:pPr>
              <w:pStyle w:val="Applicationdirecte"/>
              <w:spacing w:before="0" w:after="240"/>
              <w:jc w:val="center"/>
            </w:pPr>
            <w:r w:rsidRPr="00396116">
              <w:lastRenderedPageBreak/>
              <w:t>l</w:t>
            </w:r>
          </w:p>
        </w:tc>
        <w:tc>
          <w:tcPr>
            <w:tcW w:w="7655" w:type="dxa"/>
            <w:vAlign w:val="center"/>
          </w:tcPr>
          <w:p w14:paraId="2AD95FAF" w14:textId="77777777" w:rsidR="00F43911" w:rsidRPr="00396116" w:rsidRDefault="00F43911" w:rsidP="004F3087">
            <w:pPr>
              <w:spacing w:after="240"/>
              <w:jc w:val="both"/>
              <w:rPr>
                <w:rFonts w:ascii="Times New Roman" w:eastAsia="Times New Roman" w:hAnsi="Times New Roman" w:cs="Times New Roman"/>
                <w:b/>
                <w:sz w:val="24"/>
              </w:rPr>
            </w:pPr>
            <w:r w:rsidRPr="00396116">
              <w:rPr>
                <w:rFonts w:ascii="Times New Roman" w:hAnsi="Times New Roman"/>
                <w:b/>
                <w:sz w:val="24"/>
              </w:rPr>
              <w:t xml:space="preserve">Całkowita wartość ekspozycji </w:t>
            </w:r>
          </w:p>
        </w:tc>
      </w:tr>
    </w:tbl>
    <w:p w14:paraId="4639EED1" w14:textId="77777777" w:rsidR="00F43911" w:rsidRPr="00396116" w:rsidRDefault="00F43911" w:rsidP="00F43911">
      <w:pPr>
        <w:pStyle w:val="Titlelevel2"/>
        <w:spacing w:before="0"/>
        <w:rPr>
          <w:rFonts w:ascii="Times New Roman" w:hAnsi="Times New Roman" w:cs="Times New Roman"/>
          <w:color w:val="auto"/>
          <w:sz w:val="24"/>
        </w:rPr>
      </w:pPr>
    </w:p>
    <w:p w14:paraId="378BA942" w14:textId="77777777" w:rsidR="00F43911" w:rsidRPr="00396116" w:rsidRDefault="00F43911" w:rsidP="00F43911">
      <w:pPr>
        <w:pStyle w:val="Titlelevel2"/>
        <w:spacing w:before="0"/>
        <w:jc w:val="both"/>
        <w:rPr>
          <w:rFonts w:ascii="Times New Roman" w:hAnsi="Times New Roman" w:cs="Times New Roman"/>
          <w:b/>
          <w:color w:val="auto"/>
          <w:sz w:val="24"/>
        </w:rPr>
      </w:pPr>
      <w:r w:rsidRPr="00396116">
        <w:rPr>
          <w:rFonts w:ascii="Times New Roman" w:hAnsi="Times New Roman"/>
          <w:b/>
          <w:color w:val="auto"/>
          <w:sz w:val="24"/>
        </w:rPr>
        <w:t xml:space="preserve">Wzór EU CCR4 – Metoda IRB – ekspozycje na ryzyko kredytowe kontrahenta (CCR) według kategorii ekspozycji i skali PD. </w:t>
      </w:r>
      <w:r w:rsidRPr="00396116">
        <w:rPr>
          <w:rFonts w:ascii="Times New Roman" w:hAnsi="Times New Roman"/>
          <w:color w:val="auto"/>
          <w:sz w:val="24"/>
        </w:rPr>
        <w:t>Format stały</w:t>
      </w:r>
    </w:p>
    <w:p w14:paraId="03E920F2" w14:textId="6901BA25" w:rsidR="00F43911" w:rsidRPr="00396116"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396116">
        <w:rPr>
          <w:rFonts w:ascii="Times New Roman" w:hAnsi="Times New Roman"/>
          <w:color w:val="000000"/>
          <w:sz w:val="24"/>
        </w:rPr>
        <w:t xml:space="preserve">W celu wypełnienia wzoru EU CCR4 zamieszczonego w załączniku XXV do rozwiązań informatycznych EUNB instytucje ujawniają informacje, o których mowa w art. 452 lit. g) rozporządzenia (UE) nr 575/2013, zgodnie z poniższymi instrukcjami zawartymi w niniejszym załączniku. </w:t>
      </w:r>
    </w:p>
    <w:p w14:paraId="21A1A0D5" w14:textId="71F1C68D" w:rsidR="00F43911" w:rsidRPr="00396116"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396116">
        <w:rPr>
          <w:rFonts w:ascii="Times New Roman" w:hAnsi="Times New Roman"/>
          <w:color w:val="000000"/>
          <w:sz w:val="24"/>
        </w:rPr>
        <w:t>Instytucje stosujące zaawansowaną albo podstawową metodę IRB do obliczania kwot ekspozycji ważonych ryzykiem (wyłączając kwoty ekspozycji wyprowadzone z wymogów w zakresie funduszy własnych z tytułu ryzyka związanego z korektą wyceny kredytowej i kwoty ekspozycji rozliczonych za pośrednictwem kontrahenta centralnego) ujawniają następujące informacje dla wszystkich lub części swoich ekspozycji na ryzyko kredytowe kontrahenta zgodnie z art. 107 rozporządzenia (UE) nr 575/2013, niezależnie od metody oceny ryzyka kredytowego kontrahenta stosowanej do ustalenia wartości ekspozycji zgodnie z częścią trzecią tytuł II rozdziały 4 i 6 rozporządzenia (UE) nr 575/2013.</w:t>
      </w:r>
      <w:r w:rsidRPr="00396116">
        <w:rPr>
          <w:rFonts w:ascii="Times New Roman" w:hAnsi="Times New Roman"/>
          <w:color w:val="auto"/>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396116"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396116" w:rsidRDefault="00F43911" w:rsidP="004F3087">
            <w:pPr>
              <w:spacing w:after="240"/>
              <w:rPr>
                <w:rFonts w:ascii="Times New Roman" w:hAnsi="Times New Roman" w:cs="Times New Roman"/>
                <w:b/>
                <w:sz w:val="24"/>
              </w:rPr>
            </w:pPr>
            <w:r w:rsidRPr="00396116">
              <w:rPr>
                <w:rFonts w:ascii="Times New Roman" w:hAnsi="Times New Roman"/>
                <w:b/>
                <w:sz w:val="24"/>
              </w:rPr>
              <w:t>Odniesienia prawne i instrukcje</w:t>
            </w:r>
          </w:p>
        </w:tc>
      </w:tr>
      <w:tr w:rsidR="00F43911" w:rsidRPr="00396116" w14:paraId="176F7ACC" w14:textId="77777777" w:rsidTr="004F3087">
        <w:trPr>
          <w:trHeight w:val="238"/>
        </w:trPr>
        <w:tc>
          <w:tcPr>
            <w:tcW w:w="1384" w:type="dxa"/>
            <w:shd w:val="clear" w:color="auto" w:fill="D9D9D9" w:themeFill="background1" w:themeFillShade="D9"/>
          </w:tcPr>
          <w:p w14:paraId="5396CA1A" w14:textId="79308E62" w:rsidR="00F43911" w:rsidRPr="00396116" w:rsidRDefault="00365E5D" w:rsidP="004F3087">
            <w:pPr>
              <w:autoSpaceDE w:val="0"/>
              <w:autoSpaceDN w:val="0"/>
              <w:adjustRightInd w:val="0"/>
              <w:spacing w:after="240"/>
              <w:rPr>
                <w:rFonts w:ascii="Times New Roman" w:hAnsi="Times New Roman" w:cs="Times New Roman"/>
                <w:b/>
                <w:sz w:val="24"/>
              </w:rPr>
            </w:pPr>
            <w:r w:rsidRPr="00396116">
              <w:rPr>
                <w:rFonts w:ascii="Times New Roman" w:hAnsi="Times New Roman"/>
                <w:b/>
                <w:sz w:val="24"/>
              </w:rPr>
              <w:t>Oznaczenie wiersza</w:t>
            </w:r>
          </w:p>
        </w:tc>
        <w:tc>
          <w:tcPr>
            <w:tcW w:w="7655" w:type="dxa"/>
            <w:shd w:val="clear" w:color="auto" w:fill="D9D9D9" w:themeFill="background1" w:themeFillShade="D9"/>
          </w:tcPr>
          <w:p w14:paraId="5AD423D5" w14:textId="77777777" w:rsidR="00F43911" w:rsidRPr="00396116" w:rsidRDefault="00F43911" w:rsidP="004F3087">
            <w:pPr>
              <w:autoSpaceDE w:val="0"/>
              <w:autoSpaceDN w:val="0"/>
              <w:adjustRightInd w:val="0"/>
              <w:spacing w:after="240"/>
              <w:rPr>
                <w:rFonts w:ascii="Times New Roman" w:hAnsi="Times New Roman" w:cs="Times New Roman"/>
                <w:color w:val="000000"/>
                <w:sz w:val="24"/>
              </w:rPr>
            </w:pPr>
            <w:r w:rsidRPr="00396116">
              <w:rPr>
                <w:rFonts w:ascii="Times New Roman" w:hAnsi="Times New Roman"/>
                <w:b/>
                <w:sz w:val="24"/>
              </w:rPr>
              <w:t>Wyjaśnienie</w:t>
            </w:r>
          </w:p>
        </w:tc>
      </w:tr>
      <w:tr w:rsidR="00F43911" w:rsidRPr="00396116" w14:paraId="02634469" w14:textId="77777777" w:rsidTr="004F3087">
        <w:trPr>
          <w:trHeight w:val="680"/>
        </w:trPr>
        <w:tc>
          <w:tcPr>
            <w:tcW w:w="1384" w:type="dxa"/>
          </w:tcPr>
          <w:p w14:paraId="2AC6A479" w14:textId="77777777" w:rsidR="00F43911" w:rsidRPr="00396116" w:rsidRDefault="00F43911" w:rsidP="004F3087">
            <w:pPr>
              <w:pStyle w:val="Applicationdirecte"/>
              <w:spacing w:before="0" w:after="240"/>
              <w:jc w:val="center"/>
            </w:pPr>
            <w:r w:rsidRPr="00396116">
              <w:t>1–8</w:t>
            </w:r>
          </w:p>
        </w:tc>
        <w:tc>
          <w:tcPr>
            <w:tcW w:w="7655" w:type="dxa"/>
            <w:vAlign w:val="center"/>
          </w:tcPr>
          <w:p w14:paraId="21A090EC" w14:textId="77777777" w:rsidR="00F43911" w:rsidRPr="00396116" w:rsidRDefault="00F43911" w:rsidP="004F3087">
            <w:pPr>
              <w:spacing w:after="240"/>
              <w:jc w:val="both"/>
              <w:rPr>
                <w:rFonts w:ascii="Times New Roman" w:eastAsia="Times New Roman" w:hAnsi="Times New Roman" w:cs="Times New Roman"/>
                <w:b/>
                <w:sz w:val="24"/>
              </w:rPr>
            </w:pPr>
            <w:r w:rsidRPr="00396116">
              <w:rPr>
                <w:rFonts w:ascii="Times New Roman" w:hAnsi="Times New Roman"/>
                <w:b/>
                <w:sz w:val="24"/>
              </w:rPr>
              <w:t>Skala PD</w:t>
            </w:r>
          </w:p>
          <w:p w14:paraId="27E474D8" w14:textId="77777777"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Ekspozycje na ryzyko kredytowe kontrahenta przypisuje się do odpowiedniego koszyka o stałej skali PD na podstawie PD oszacowanego dla każdego dłużnika przyporządkowanego do danej kategorii ekspozycji (bez uwzględniania jakiejkolwiek substytucji ze względu na istnienie gwarancji lub kredytowego instrumentu pochodnego). Instytucje przyporządkowują każdą ekspozycję do skali PD podanej w niniejszym wzorze, uwzględniając również skale ciągłe. Wszystkie ekspozycje, których dotyczy niewykonanie zobowiązania, ujmuje się w koszyku odpowiadającym PD w wysokości 100 %.</w:t>
            </w:r>
          </w:p>
        </w:tc>
      </w:tr>
      <w:tr w:rsidR="00F43911" w:rsidRPr="00396116" w14:paraId="67FC8DC7" w14:textId="77777777" w:rsidTr="004F3087">
        <w:trPr>
          <w:trHeight w:val="680"/>
        </w:trPr>
        <w:tc>
          <w:tcPr>
            <w:tcW w:w="1384" w:type="dxa"/>
          </w:tcPr>
          <w:p w14:paraId="35441DA1" w14:textId="77777777" w:rsidR="00F43911" w:rsidRPr="00396116" w:rsidRDefault="00F43911" w:rsidP="004F3087">
            <w:pPr>
              <w:pStyle w:val="Applicationdirecte"/>
              <w:spacing w:before="0" w:after="240"/>
              <w:jc w:val="center"/>
            </w:pPr>
            <w:r w:rsidRPr="00396116">
              <w:t>1–x</w:t>
            </w:r>
          </w:p>
        </w:tc>
        <w:tc>
          <w:tcPr>
            <w:tcW w:w="7655" w:type="dxa"/>
            <w:vAlign w:val="center"/>
          </w:tcPr>
          <w:p w14:paraId="113166C9" w14:textId="77777777" w:rsidR="00F43911" w:rsidRPr="00396116" w:rsidRDefault="00F43911" w:rsidP="004F3087">
            <w:pPr>
              <w:spacing w:after="240"/>
              <w:jc w:val="both"/>
              <w:rPr>
                <w:rFonts w:ascii="Times New Roman" w:eastAsia="Times New Roman" w:hAnsi="Times New Roman" w:cs="Times New Roman"/>
                <w:b/>
                <w:sz w:val="24"/>
              </w:rPr>
            </w:pPr>
            <w:r w:rsidRPr="00396116">
              <w:rPr>
                <w:rFonts w:ascii="Times New Roman" w:hAnsi="Times New Roman"/>
                <w:b/>
                <w:sz w:val="24"/>
              </w:rPr>
              <w:t>Kategoria ekspozycji X</w:t>
            </w:r>
          </w:p>
          <w:p w14:paraId="2F40E777" w14:textId="635AFB91" w:rsidR="00F43911" w:rsidRPr="00396116" w:rsidRDefault="00F43911" w:rsidP="004F3087">
            <w:pPr>
              <w:spacing w:after="240"/>
              <w:jc w:val="both"/>
              <w:rPr>
                <w:rFonts w:ascii="Times New Roman" w:eastAsia="Times New Roman" w:hAnsi="Times New Roman" w:cs="Times New Roman"/>
                <w:sz w:val="24"/>
              </w:rPr>
            </w:pPr>
            <w:r w:rsidRPr="00396116">
              <w:rPr>
                <w:rFonts w:ascii="Times New Roman" w:hAnsi="Times New Roman"/>
                <w:sz w:val="24"/>
              </w:rPr>
              <w:t>Przedmiotowe wiersze odnoszą się do poszczególnych kategorii ekspozycji wymienionych w części trzeciej tytuł II rozdział 3 art. 147 rozporządzenia (UE) nr 575/2013.</w:t>
            </w:r>
          </w:p>
        </w:tc>
      </w:tr>
      <w:tr w:rsidR="00F43911" w:rsidRPr="00396116" w14:paraId="63C15CE0" w14:textId="77777777" w:rsidTr="004F3087">
        <w:trPr>
          <w:trHeight w:val="680"/>
        </w:trPr>
        <w:tc>
          <w:tcPr>
            <w:tcW w:w="1384" w:type="dxa"/>
          </w:tcPr>
          <w:p w14:paraId="5ED80B6B" w14:textId="77777777" w:rsidR="00F43911" w:rsidRPr="00396116" w:rsidRDefault="00F43911" w:rsidP="004F3087">
            <w:pPr>
              <w:pStyle w:val="Applicationdirecte"/>
              <w:spacing w:before="0" w:after="240"/>
              <w:jc w:val="center"/>
            </w:pPr>
            <w:r w:rsidRPr="00396116">
              <w:lastRenderedPageBreak/>
              <w:t>x i y</w:t>
            </w:r>
          </w:p>
        </w:tc>
        <w:tc>
          <w:tcPr>
            <w:tcW w:w="7655" w:type="dxa"/>
            <w:vAlign w:val="center"/>
          </w:tcPr>
          <w:p w14:paraId="213AF8F1" w14:textId="77777777" w:rsidR="00F43911" w:rsidRPr="00396116" w:rsidRDefault="00F43911" w:rsidP="004F3087">
            <w:pPr>
              <w:spacing w:after="240"/>
              <w:jc w:val="both"/>
              <w:rPr>
                <w:rFonts w:ascii="Times New Roman" w:eastAsia="Times New Roman" w:hAnsi="Times New Roman" w:cs="Times New Roman"/>
                <w:b/>
                <w:sz w:val="24"/>
              </w:rPr>
            </w:pPr>
            <w:r w:rsidRPr="00396116">
              <w:rPr>
                <w:rFonts w:ascii="Times New Roman" w:hAnsi="Times New Roman"/>
                <w:b/>
                <w:sz w:val="24"/>
              </w:rPr>
              <w:t>Suma częściowa (kategoria ekspozycji X) / suma całkowita (wszystkie kategorie ekspozycji istotne w kontekście ryzyka kredytowego kontrahenta)</w:t>
            </w:r>
          </w:p>
          <w:p w14:paraId="6E6CECB2" w14:textId="77777777" w:rsidR="00F43911" w:rsidRPr="00396116" w:rsidRDefault="00F43911" w:rsidP="004F3087">
            <w:pPr>
              <w:spacing w:after="240"/>
              <w:jc w:val="both"/>
              <w:rPr>
                <w:rFonts w:ascii="Times New Roman" w:eastAsia="Times New Roman" w:hAnsi="Times New Roman" w:cs="Times New Roman"/>
                <w:sz w:val="24"/>
              </w:rPr>
            </w:pPr>
            <w:r w:rsidRPr="00396116">
              <w:rPr>
                <w:rFonts w:ascii="Times New Roman" w:hAnsi="Times New Roman"/>
                <w:sz w:val="24"/>
              </w:rPr>
              <w:t>Suma częściowa i suma całkowita wartości ekspozycji, kwot ekspozycji ważonych ryzykiem oraz liczby dłużników musi odpowiadać sumie wartości znajdujących się w odpowiednich kolumnach. Jeżeli chodzi o stosunek poszczególnych parametrów takich jak średnie wartości PD, średnia LGD, średni termin zapadalności oraz stosunek kwot ekspozycji ważonych ryzykiem do wartości ekspozycji, poniższe definicje mają zastosowanie w odniesieniu do próby kategorii ekspozycji X lub wszystkich kategorii ekspozycji istotnych w kontekście ryzyka kredytowego kontrahenta.</w:t>
            </w:r>
          </w:p>
        </w:tc>
      </w:tr>
      <w:tr w:rsidR="00F43911" w:rsidRPr="00396116"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396116" w:rsidRDefault="00F43911" w:rsidP="004F3087">
            <w:pPr>
              <w:pStyle w:val="Applicationdirecte"/>
              <w:spacing w:before="0" w:after="240"/>
              <w:jc w:val="center"/>
              <w:rPr>
                <w:b/>
              </w:rPr>
            </w:pPr>
            <w:r w:rsidRPr="00396116">
              <w:rPr>
                <w:b/>
              </w:rPr>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396116" w:rsidRDefault="00F43911" w:rsidP="004F3087">
            <w:pPr>
              <w:pStyle w:val="TableMainHeading"/>
              <w:spacing w:before="0" w:after="240"/>
              <w:rPr>
                <w:rFonts w:ascii="Times New Roman" w:hAnsi="Times New Roman"/>
                <w:b/>
                <w:sz w:val="24"/>
                <w:szCs w:val="24"/>
              </w:rPr>
            </w:pPr>
            <w:r w:rsidRPr="00396116">
              <w:rPr>
                <w:rFonts w:ascii="Times New Roman" w:hAnsi="Times New Roman"/>
                <w:b/>
                <w:sz w:val="24"/>
              </w:rPr>
              <w:t>Wyjaśnienie</w:t>
            </w:r>
          </w:p>
        </w:tc>
      </w:tr>
      <w:tr w:rsidR="00F43911" w:rsidRPr="00396116" w14:paraId="4672F613" w14:textId="77777777" w:rsidTr="004F3087">
        <w:trPr>
          <w:trHeight w:val="680"/>
        </w:trPr>
        <w:tc>
          <w:tcPr>
            <w:tcW w:w="1384" w:type="dxa"/>
          </w:tcPr>
          <w:p w14:paraId="1BF1F31B" w14:textId="77777777" w:rsidR="00F43911" w:rsidRPr="00396116" w:rsidRDefault="00F43911" w:rsidP="004F3087">
            <w:pPr>
              <w:pStyle w:val="Applicationdirecte"/>
              <w:spacing w:before="0" w:after="240"/>
              <w:jc w:val="center"/>
            </w:pPr>
            <w:r w:rsidRPr="00396116">
              <w:t>a</w:t>
            </w:r>
          </w:p>
        </w:tc>
        <w:tc>
          <w:tcPr>
            <w:tcW w:w="7655" w:type="dxa"/>
            <w:vAlign w:val="center"/>
          </w:tcPr>
          <w:p w14:paraId="2C0818DE" w14:textId="77777777" w:rsidR="00F43911" w:rsidRPr="00396116" w:rsidRDefault="00F43911" w:rsidP="004F3087">
            <w:pPr>
              <w:spacing w:after="240"/>
              <w:jc w:val="both"/>
              <w:rPr>
                <w:rFonts w:ascii="Times New Roman" w:hAnsi="Times New Roman" w:cs="Times New Roman"/>
                <w:b/>
                <w:sz w:val="24"/>
              </w:rPr>
            </w:pPr>
            <w:r w:rsidRPr="00396116">
              <w:rPr>
                <w:rFonts w:ascii="Times New Roman" w:hAnsi="Times New Roman"/>
                <w:b/>
                <w:sz w:val="24"/>
              </w:rPr>
              <w:t>Wartość ekspozycji</w:t>
            </w:r>
          </w:p>
          <w:p w14:paraId="4DAED01E" w14:textId="3471DCB1" w:rsidR="00F43911" w:rsidRPr="00396116" w:rsidRDefault="00F43911" w:rsidP="004F3087">
            <w:pPr>
              <w:spacing w:after="240"/>
              <w:jc w:val="both"/>
              <w:rPr>
                <w:rFonts w:ascii="Times New Roman" w:eastAsia="Times New Roman" w:hAnsi="Times New Roman" w:cs="Times New Roman"/>
                <w:sz w:val="24"/>
              </w:rPr>
            </w:pPr>
            <w:r w:rsidRPr="00396116">
              <w:rPr>
                <w:rFonts w:ascii="Times New Roman" w:hAnsi="Times New Roman"/>
                <w:sz w:val="24"/>
              </w:rPr>
              <w:t xml:space="preserve">Wartość ekspozycji (zob. definicja przedstawiona w kolumnie </w:t>
            </w:r>
            <w:r w:rsidRPr="00396116">
              <w:rPr>
                <w:rFonts w:ascii="Times New Roman" w:hAnsi="Times New Roman"/>
                <w:i/>
                <w:iCs/>
                <w:sz w:val="24"/>
              </w:rPr>
              <w:t>g</w:t>
            </w:r>
            <w:r w:rsidRPr="00396116">
              <w:rPr>
                <w:rFonts w:ascii="Times New Roman" w:hAnsi="Times New Roman"/>
                <w:sz w:val="24"/>
              </w:rPr>
              <w:t xml:space="preserve"> wzoru EU CCR1) w podziale na kategorie ekspozycji oraz odpowiednią skalę PD określone w części trzeciej tytuł II rozdział 3 rozporządzenia (UE) nr 575/2013</w:t>
            </w:r>
          </w:p>
        </w:tc>
      </w:tr>
      <w:tr w:rsidR="00F43911" w:rsidRPr="00396116" w14:paraId="29BE1BD5" w14:textId="77777777" w:rsidTr="004F3087">
        <w:trPr>
          <w:trHeight w:val="680"/>
        </w:trPr>
        <w:tc>
          <w:tcPr>
            <w:tcW w:w="1384" w:type="dxa"/>
          </w:tcPr>
          <w:p w14:paraId="43571550" w14:textId="77777777" w:rsidR="00F43911" w:rsidRPr="00396116" w:rsidRDefault="00F43911" w:rsidP="004F3087">
            <w:pPr>
              <w:pStyle w:val="Applicationdirecte"/>
              <w:spacing w:before="0" w:after="240"/>
              <w:jc w:val="center"/>
            </w:pPr>
            <w:r w:rsidRPr="00396116">
              <w:t>b</w:t>
            </w:r>
          </w:p>
        </w:tc>
        <w:tc>
          <w:tcPr>
            <w:tcW w:w="7655" w:type="dxa"/>
            <w:vAlign w:val="center"/>
          </w:tcPr>
          <w:p w14:paraId="7ED972CE" w14:textId="77777777" w:rsidR="00F43911" w:rsidRPr="00396116" w:rsidRDefault="00F43911" w:rsidP="004F3087">
            <w:pPr>
              <w:spacing w:after="240"/>
              <w:rPr>
                <w:rFonts w:ascii="Times New Roman" w:eastAsia="Times New Roman" w:hAnsi="Times New Roman" w:cs="Times New Roman"/>
                <w:b/>
                <w:sz w:val="24"/>
              </w:rPr>
            </w:pPr>
            <w:r w:rsidRPr="00396116">
              <w:rPr>
                <w:rFonts w:ascii="Times New Roman" w:hAnsi="Times New Roman"/>
                <w:b/>
                <w:sz w:val="24"/>
              </w:rPr>
              <w:t>Średnia wartość PD ważona ekspozycją (%)</w:t>
            </w:r>
          </w:p>
          <w:p w14:paraId="77163362" w14:textId="77777777" w:rsidR="00F43911" w:rsidRPr="00396116" w:rsidRDefault="00F43911" w:rsidP="004F3087">
            <w:pPr>
              <w:spacing w:after="240"/>
              <w:rPr>
                <w:rFonts w:ascii="Times New Roman" w:eastAsia="Times New Roman" w:hAnsi="Times New Roman" w:cs="Times New Roman"/>
                <w:sz w:val="24"/>
              </w:rPr>
            </w:pPr>
            <w:r w:rsidRPr="00396116">
              <w:rPr>
                <w:rFonts w:ascii="Times New Roman" w:hAnsi="Times New Roman"/>
                <w:sz w:val="24"/>
              </w:rPr>
              <w:t xml:space="preserve">Średnia wartości PD poszczególnych klas jakości dłużników ważona odpowiadającą im wartością ekspozycji w kolumnie </w:t>
            </w:r>
            <w:r w:rsidRPr="00396116">
              <w:rPr>
                <w:rFonts w:ascii="Times New Roman" w:hAnsi="Times New Roman"/>
                <w:i/>
                <w:iCs/>
                <w:sz w:val="24"/>
              </w:rPr>
              <w:t>a</w:t>
            </w:r>
            <w:r w:rsidRPr="00396116">
              <w:rPr>
                <w:rFonts w:ascii="Times New Roman" w:hAnsi="Times New Roman"/>
                <w:sz w:val="24"/>
              </w:rPr>
              <w:t xml:space="preserve"> niniejszego wzoru</w:t>
            </w:r>
            <w:r w:rsidRPr="00396116">
              <w:t>.</w:t>
            </w:r>
          </w:p>
        </w:tc>
      </w:tr>
      <w:tr w:rsidR="00F43911" w:rsidRPr="00396116" w14:paraId="54178E8C" w14:textId="77777777" w:rsidTr="004F3087">
        <w:trPr>
          <w:trHeight w:val="680"/>
        </w:trPr>
        <w:tc>
          <w:tcPr>
            <w:tcW w:w="1384" w:type="dxa"/>
          </w:tcPr>
          <w:p w14:paraId="7D3E7D23" w14:textId="77777777" w:rsidR="00F43911" w:rsidRPr="00396116" w:rsidRDefault="00F43911" w:rsidP="004F3087">
            <w:pPr>
              <w:pStyle w:val="Applicationdirecte"/>
              <w:spacing w:before="0" w:after="240"/>
              <w:jc w:val="center"/>
            </w:pPr>
            <w:r w:rsidRPr="00396116">
              <w:t>c</w:t>
            </w:r>
          </w:p>
        </w:tc>
        <w:tc>
          <w:tcPr>
            <w:tcW w:w="7655" w:type="dxa"/>
            <w:vAlign w:val="center"/>
          </w:tcPr>
          <w:p w14:paraId="6153A1D9" w14:textId="77777777" w:rsidR="00F43911" w:rsidRPr="00396116" w:rsidRDefault="00F43911" w:rsidP="004F3087">
            <w:pPr>
              <w:spacing w:after="240"/>
              <w:rPr>
                <w:rFonts w:ascii="Times New Roman" w:eastAsia="Times New Roman" w:hAnsi="Times New Roman" w:cs="Times New Roman"/>
                <w:b/>
                <w:sz w:val="24"/>
              </w:rPr>
            </w:pPr>
            <w:r w:rsidRPr="00396116">
              <w:rPr>
                <w:rFonts w:ascii="Times New Roman" w:hAnsi="Times New Roman"/>
                <w:b/>
                <w:sz w:val="24"/>
              </w:rPr>
              <w:t>Liczba dłużników</w:t>
            </w:r>
          </w:p>
          <w:p w14:paraId="6074DEAB" w14:textId="77777777" w:rsidR="00F43911" w:rsidRPr="00396116" w:rsidRDefault="00F43911" w:rsidP="004F3087">
            <w:pPr>
              <w:spacing w:after="240"/>
              <w:jc w:val="both"/>
              <w:rPr>
                <w:rFonts w:ascii="Times New Roman" w:eastAsia="Times New Roman" w:hAnsi="Times New Roman" w:cs="Times New Roman"/>
                <w:sz w:val="24"/>
              </w:rPr>
            </w:pPr>
            <w:r w:rsidRPr="00396116">
              <w:rPr>
                <w:rFonts w:ascii="Times New Roman" w:hAnsi="Times New Roman"/>
                <w:sz w:val="24"/>
              </w:rPr>
              <w:t>Liczba podmiotów prawnych lub dłużników przypisanych do każdego koszyka na stałej skali PD, których oceniono oddzielnie, niezależnie od liczby różnych przyznanych pożyczek lub ekspozycji.</w:t>
            </w:r>
          </w:p>
          <w:p w14:paraId="7E8F21FB" w14:textId="0F2C452D"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Jeżeli różne ekspozycje wobec tego samego dłużnika ocenia się oddzielnie, należy je liczyć oddzielnie. Taka sytuacja może mieć miejsce, jeżeli odrębne ekspozycje wobec tego samego dłużnika są przypisane do różnych klas jakości dłużników zgodnie z art. 172 ust. 1 lit. e) zdanie drugie rozporządzenia (UE) nr 575/2013.</w:t>
            </w:r>
          </w:p>
        </w:tc>
      </w:tr>
      <w:tr w:rsidR="00F43911" w:rsidRPr="00396116" w14:paraId="3C6F4AC7" w14:textId="77777777" w:rsidTr="004F3087">
        <w:trPr>
          <w:trHeight w:val="680"/>
        </w:trPr>
        <w:tc>
          <w:tcPr>
            <w:tcW w:w="1384" w:type="dxa"/>
          </w:tcPr>
          <w:p w14:paraId="26C46E26" w14:textId="77777777" w:rsidR="00F43911" w:rsidRPr="00396116" w:rsidRDefault="00F43911" w:rsidP="004F3087">
            <w:pPr>
              <w:pStyle w:val="Applicationdirecte"/>
              <w:spacing w:before="0" w:after="240"/>
              <w:jc w:val="center"/>
            </w:pPr>
            <w:r w:rsidRPr="00396116">
              <w:t>d</w:t>
            </w:r>
          </w:p>
        </w:tc>
        <w:tc>
          <w:tcPr>
            <w:tcW w:w="7655" w:type="dxa"/>
            <w:vAlign w:val="center"/>
          </w:tcPr>
          <w:p w14:paraId="58C260C0" w14:textId="77777777" w:rsidR="00F43911" w:rsidRPr="00396116" w:rsidRDefault="00F43911" w:rsidP="004F3087">
            <w:pPr>
              <w:spacing w:after="240"/>
              <w:rPr>
                <w:rFonts w:ascii="Times New Roman" w:eastAsia="Times New Roman" w:hAnsi="Times New Roman" w:cs="Times New Roman"/>
                <w:b/>
                <w:sz w:val="24"/>
              </w:rPr>
            </w:pPr>
            <w:r w:rsidRPr="00396116">
              <w:rPr>
                <w:rFonts w:ascii="Times New Roman" w:hAnsi="Times New Roman"/>
                <w:b/>
                <w:sz w:val="24"/>
              </w:rPr>
              <w:t>Średnia wartość LGD ważona ekspozycją (%)</w:t>
            </w:r>
          </w:p>
          <w:p w14:paraId="34068163" w14:textId="77777777" w:rsidR="00F43911" w:rsidRPr="00396116" w:rsidRDefault="00F43911" w:rsidP="004F3087">
            <w:pPr>
              <w:spacing w:after="240"/>
              <w:jc w:val="both"/>
              <w:rPr>
                <w:rFonts w:ascii="Times New Roman" w:eastAsia="Times New Roman" w:hAnsi="Times New Roman" w:cs="Times New Roman"/>
                <w:sz w:val="24"/>
              </w:rPr>
            </w:pPr>
            <w:r w:rsidRPr="00396116">
              <w:rPr>
                <w:rFonts w:ascii="Times New Roman" w:hAnsi="Times New Roman"/>
                <w:sz w:val="24"/>
              </w:rPr>
              <w:t>Średnia wartości LGD klas jakości dłużników ważona odpowiadającą im wartością ekspozycji</w:t>
            </w:r>
          </w:p>
          <w:p w14:paraId="789E926C" w14:textId="77777777" w:rsidR="00F43911" w:rsidRPr="00396116" w:rsidRDefault="00F43911" w:rsidP="004F3087">
            <w:pPr>
              <w:spacing w:after="240"/>
              <w:jc w:val="both"/>
              <w:rPr>
                <w:rFonts w:ascii="Times New Roman" w:eastAsia="Times New Roman" w:hAnsi="Times New Roman" w:cs="Times New Roman"/>
                <w:sz w:val="24"/>
              </w:rPr>
            </w:pPr>
            <w:r w:rsidRPr="00396116">
              <w:rPr>
                <w:rFonts w:ascii="Times New Roman" w:hAnsi="Times New Roman"/>
                <w:sz w:val="24"/>
              </w:rPr>
              <w:t xml:space="preserve">Ujawniona wartość LGD odpowiada ostatecznemu szacunkowi LGD wykorzystanemu do obliczenia wymogów w zakresie funduszy własnych uzyskanych po uwzględnieniu wszelkich efektów ograniczania ryzyka kredytowego oraz – w stosownych przypadkach – warunków pogorszenia koniunktury. </w:t>
            </w:r>
          </w:p>
          <w:p w14:paraId="766422CE" w14:textId="30667EC7" w:rsidR="00F43911" w:rsidRPr="00396116" w:rsidRDefault="00F43911" w:rsidP="004F3087">
            <w:pPr>
              <w:spacing w:after="240"/>
              <w:jc w:val="both"/>
              <w:rPr>
                <w:rFonts w:ascii="Times New Roman" w:eastAsia="Times New Roman" w:hAnsi="Times New Roman" w:cs="Times New Roman"/>
                <w:sz w:val="24"/>
              </w:rPr>
            </w:pPr>
            <w:r w:rsidRPr="00396116">
              <w:rPr>
                <w:rFonts w:ascii="Times New Roman" w:hAnsi="Times New Roman"/>
                <w:sz w:val="24"/>
              </w:rPr>
              <w:lastRenderedPageBreak/>
              <w:t>W przypadku ekspozycji z uwzględnieniem ujęcia podwójnego niewykonania zobowiązania LGD, którą należy ujawnić, odpowiada LGD wybranej zgodnie z art. 161 ust. 4 rozporządzenia (UE) nr 575/2013.</w:t>
            </w:r>
          </w:p>
          <w:p w14:paraId="7A98367D" w14:textId="671A714E" w:rsidR="00F43911" w:rsidRPr="00396116" w:rsidRDefault="00F43911" w:rsidP="004F3087">
            <w:pPr>
              <w:spacing w:after="240"/>
              <w:jc w:val="both"/>
              <w:rPr>
                <w:rFonts w:ascii="Times New Roman" w:eastAsia="Times New Roman" w:hAnsi="Times New Roman" w:cs="Times New Roman"/>
                <w:sz w:val="24"/>
              </w:rPr>
            </w:pPr>
            <w:r w:rsidRPr="00396116">
              <w:rPr>
                <w:rFonts w:ascii="Times New Roman" w:hAnsi="Times New Roman"/>
                <w:sz w:val="24"/>
              </w:rPr>
              <w:t>W odniesieniu do ekspozycji objętych metodą A-IRB, których dotyczy niewykonanie zobowiązania, uwzględnia się przepisy określone w art. 181 ust. 1 lit. h) rozporządzenia (UE) nr 575/2013. Ujawniona LGD odpowiada szacunkowej LGD, której dotyczy niewykonanie zobowiązania.</w:t>
            </w:r>
          </w:p>
        </w:tc>
      </w:tr>
      <w:tr w:rsidR="00F43911" w:rsidRPr="00396116" w14:paraId="63804F3F" w14:textId="77777777" w:rsidTr="004F3087">
        <w:trPr>
          <w:trHeight w:val="680"/>
        </w:trPr>
        <w:tc>
          <w:tcPr>
            <w:tcW w:w="1384" w:type="dxa"/>
          </w:tcPr>
          <w:p w14:paraId="14948764" w14:textId="77777777" w:rsidR="00F43911" w:rsidRPr="00396116" w:rsidRDefault="00F43911" w:rsidP="004F3087">
            <w:pPr>
              <w:pStyle w:val="Applicationdirecte"/>
              <w:spacing w:before="0" w:after="240"/>
              <w:jc w:val="center"/>
            </w:pPr>
            <w:r w:rsidRPr="00396116">
              <w:lastRenderedPageBreak/>
              <w:t>e</w:t>
            </w:r>
          </w:p>
        </w:tc>
        <w:tc>
          <w:tcPr>
            <w:tcW w:w="7655" w:type="dxa"/>
            <w:vAlign w:val="center"/>
          </w:tcPr>
          <w:p w14:paraId="211ACBAA" w14:textId="77777777" w:rsidR="00F43911" w:rsidRPr="00396116" w:rsidRDefault="00F43911" w:rsidP="004F3087">
            <w:pPr>
              <w:spacing w:after="240"/>
              <w:rPr>
                <w:rFonts w:ascii="Times New Roman" w:eastAsia="Times New Roman" w:hAnsi="Times New Roman" w:cs="Times New Roman"/>
                <w:b/>
                <w:sz w:val="24"/>
              </w:rPr>
            </w:pPr>
            <w:r w:rsidRPr="00396116">
              <w:rPr>
                <w:rFonts w:ascii="Times New Roman" w:hAnsi="Times New Roman"/>
                <w:b/>
                <w:sz w:val="24"/>
              </w:rPr>
              <w:t>Średni termin zapadalności ważony ekspozycją (lata)</w:t>
            </w:r>
          </w:p>
          <w:p w14:paraId="1C040569" w14:textId="77777777" w:rsidR="00F43911" w:rsidRPr="00396116" w:rsidRDefault="00F43911" w:rsidP="004F3087">
            <w:pPr>
              <w:spacing w:after="240"/>
              <w:jc w:val="both"/>
              <w:rPr>
                <w:rFonts w:ascii="Times New Roman" w:eastAsia="Times New Roman" w:hAnsi="Times New Roman" w:cs="Times New Roman"/>
                <w:sz w:val="24"/>
              </w:rPr>
            </w:pPr>
            <w:r w:rsidRPr="00396116">
              <w:rPr>
                <w:rFonts w:ascii="Times New Roman" w:hAnsi="Times New Roman"/>
                <w:sz w:val="24"/>
              </w:rPr>
              <w:t xml:space="preserve">Średnia terminów zapadalności dłużników w latach ważona odpowiadającą im wartością ekspozycji w kolumnie </w:t>
            </w:r>
            <w:r w:rsidRPr="00396116">
              <w:rPr>
                <w:rFonts w:ascii="Times New Roman" w:hAnsi="Times New Roman"/>
                <w:i/>
                <w:iCs/>
                <w:sz w:val="24"/>
              </w:rPr>
              <w:t>a</w:t>
            </w:r>
            <w:r w:rsidRPr="00396116">
              <w:rPr>
                <w:rFonts w:ascii="Times New Roman" w:hAnsi="Times New Roman"/>
                <w:sz w:val="24"/>
              </w:rPr>
              <w:t xml:space="preserve"> niniejszego wzoru.</w:t>
            </w:r>
          </w:p>
          <w:p w14:paraId="61506003" w14:textId="7C79B571" w:rsidR="00F43911" w:rsidRPr="00396116" w:rsidRDefault="00F43911" w:rsidP="004F3087">
            <w:pPr>
              <w:spacing w:after="240"/>
              <w:jc w:val="both"/>
              <w:rPr>
                <w:rFonts w:ascii="Times New Roman" w:eastAsia="Times New Roman" w:hAnsi="Times New Roman" w:cs="Times New Roman"/>
                <w:sz w:val="24"/>
              </w:rPr>
            </w:pPr>
            <w:r w:rsidRPr="00396116">
              <w:rPr>
                <w:rFonts w:ascii="Times New Roman" w:hAnsi="Times New Roman"/>
                <w:sz w:val="24"/>
              </w:rPr>
              <w:t>Ujawnioną wartość terminu zapadalności ustala się zgodnie z art. 162 rozporządzenia (UE) nr 575/2013.</w:t>
            </w:r>
          </w:p>
        </w:tc>
      </w:tr>
      <w:tr w:rsidR="00F43911" w:rsidRPr="00396116" w14:paraId="2E8E0E01" w14:textId="77777777" w:rsidTr="004F3087">
        <w:trPr>
          <w:trHeight w:val="680"/>
        </w:trPr>
        <w:tc>
          <w:tcPr>
            <w:tcW w:w="1384" w:type="dxa"/>
          </w:tcPr>
          <w:p w14:paraId="4C6CFCE7" w14:textId="77777777" w:rsidR="00F43911" w:rsidRPr="00396116" w:rsidRDefault="00F43911" w:rsidP="004F3087">
            <w:pPr>
              <w:pStyle w:val="Applicationdirecte"/>
              <w:spacing w:before="0" w:after="240"/>
              <w:jc w:val="center"/>
            </w:pPr>
            <w:r w:rsidRPr="00396116">
              <w:t>f</w:t>
            </w:r>
          </w:p>
        </w:tc>
        <w:tc>
          <w:tcPr>
            <w:tcW w:w="7655" w:type="dxa"/>
            <w:vAlign w:val="center"/>
          </w:tcPr>
          <w:p w14:paraId="0C2EFBAB" w14:textId="77777777" w:rsidR="00F43911" w:rsidRPr="00396116" w:rsidRDefault="00F43911" w:rsidP="004F3087">
            <w:pPr>
              <w:spacing w:after="240"/>
              <w:rPr>
                <w:rFonts w:ascii="Times New Roman" w:eastAsia="Times New Roman" w:hAnsi="Times New Roman" w:cs="Times New Roman"/>
                <w:b/>
                <w:sz w:val="24"/>
              </w:rPr>
            </w:pPr>
            <w:r w:rsidRPr="00396116">
              <w:rPr>
                <w:rFonts w:ascii="Times New Roman" w:hAnsi="Times New Roman"/>
                <w:b/>
                <w:sz w:val="24"/>
              </w:rPr>
              <w:t>Kwoty ekspozycji ważonej ryzykiem</w:t>
            </w:r>
          </w:p>
          <w:p w14:paraId="0179891F" w14:textId="5A822C45" w:rsidR="00F43911" w:rsidRPr="00396116" w:rsidRDefault="00F43911" w:rsidP="004F3087">
            <w:pPr>
              <w:spacing w:after="240"/>
              <w:jc w:val="both"/>
              <w:rPr>
                <w:rFonts w:ascii="Times New Roman" w:eastAsia="Times New Roman" w:hAnsi="Times New Roman" w:cs="Times New Roman"/>
                <w:i/>
                <w:sz w:val="24"/>
              </w:rPr>
            </w:pPr>
            <w:r w:rsidRPr="00396116">
              <w:rPr>
                <w:rFonts w:ascii="Times New Roman" w:hAnsi="Times New Roman"/>
                <w:sz w:val="24"/>
              </w:rPr>
              <w:t>Kwoty ekspozycji ważonych ryzykiem obliczone zgodnie z wymogami ustanowionymi w części trzeciej tytuł II rozdział 3 rozporządzenia (UE) nr 575/2013; w odniesieniu do ekspozycji wobec rządów centralnych i banków centralnych oraz instytucji i przedsiębiorstw – kwota ekspozycji ważonej ryzykiem obliczana zgodnie z art. 153 ust. 1–4 rozporządzenia (UE) nr 575/2013; uwzględnia się współczynniki wsparcia MŚP oraz infrastruktury ustalone zgodnie z art. 501 rozporządzenia (UE) nr 575/2013 i art. 501a rozporządzenia (UE) nr 575/2013; w odniesieniu do ekspozycji kapitałowych podlegających podejściu PD/LGD – kwota ekspozycji ważonej ryzykiem zgodnie z art. 155 ust. 3 rozporządzenia (UE) nr 575/2013.</w:t>
            </w:r>
          </w:p>
        </w:tc>
      </w:tr>
      <w:tr w:rsidR="00F43911" w:rsidRPr="00396116" w14:paraId="4DB973B0" w14:textId="77777777" w:rsidTr="004F3087">
        <w:trPr>
          <w:trHeight w:val="680"/>
        </w:trPr>
        <w:tc>
          <w:tcPr>
            <w:tcW w:w="1384" w:type="dxa"/>
          </w:tcPr>
          <w:p w14:paraId="1ABC087F" w14:textId="77777777" w:rsidR="00F43911" w:rsidRPr="00396116" w:rsidRDefault="00F43911" w:rsidP="004F3087">
            <w:pPr>
              <w:pStyle w:val="Applicationdirecte"/>
              <w:spacing w:before="0" w:after="240"/>
              <w:jc w:val="center"/>
            </w:pPr>
            <w:r w:rsidRPr="00396116">
              <w:t>g</w:t>
            </w:r>
          </w:p>
        </w:tc>
        <w:tc>
          <w:tcPr>
            <w:tcW w:w="7655" w:type="dxa"/>
            <w:vAlign w:val="center"/>
          </w:tcPr>
          <w:p w14:paraId="3A9E9DBB" w14:textId="77777777" w:rsidR="00F43911" w:rsidRPr="00396116" w:rsidRDefault="00F43911" w:rsidP="004F3087">
            <w:pPr>
              <w:spacing w:after="240"/>
              <w:rPr>
                <w:rFonts w:ascii="Times New Roman" w:eastAsia="Times New Roman" w:hAnsi="Times New Roman" w:cs="Times New Roman"/>
                <w:b/>
                <w:sz w:val="24"/>
              </w:rPr>
            </w:pPr>
            <w:r w:rsidRPr="00396116">
              <w:rPr>
                <w:rFonts w:ascii="Times New Roman" w:hAnsi="Times New Roman"/>
                <w:b/>
                <w:sz w:val="24"/>
              </w:rPr>
              <w:t>Zagęszczenie kwot ekspozycji ważonych ryzykiem</w:t>
            </w:r>
          </w:p>
          <w:p w14:paraId="7215E9DB" w14:textId="77777777"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 xml:space="preserve">Stosunek łącznych kwot ekspozycji ważonych ryzykiem (w kolumnie </w:t>
            </w:r>
            <w:r w:rsidRPr="00396116">
              <w:rPr>
                <w:rFonts w:ascii="Times New Roman" w:hAnsi="Times New Roman"/>
                <w:i/>
                <w:iCs/>
                <w:sz w:val="24"/>
              </w:rPr>
              <w:t>f</w:t>
            </w:r>
            <w:r w:rsidRPr="00396116">
              <w:rPr>
                <w:rFonts w:ascii="Times New Roman" w:hAnsi="Times New Roman"/>
                <w:sz w:val="24"/>
              </w:rPr>
              <w:t xml:space="preserve"> niniejszego wzoru) do wartości ekspozycji (w kolumnie </w:t>
            </w:r>
            <w:r w:rsidRPr="00396116">
              <w:rPr>
                <w:rFonts w:ascii="Times New Roman" w:hAnsi="Times New Roman"/>
                <w:i/>
                <w:iCs/>
                <w:sz w:val="24"/>
              </w:rPr>
              <w:t>a</w:t>
            </w:r>
            <w:r w:rsidRPr="00396116">
              <w:rPr>
                <w:rFonts w:ascii="Times New Roman" w:hAnsi="Times New Roman"/>
                <w:sz w:val="24"/>
              </w:rPr>
              <w:t xml:space="preserve"> niniejszego wzoru)</w:t>
            </w:r>
          </w:p>
        </w:tc>
      </w:tr>
    </w:tbl>
    <w:p w14:paraId="5E980DF6" w14:textId="77777777" w:rsidR="00F43911" w:rsidRPr="00396116" w:rsidRDefault="00F43911" w:rsidP="00F43911">
      <w:pPr>
        <w:pStyle w:val="Titlelevel2"/>
        <w:spacing w:before="0"/>
        <w:rPr>
          <w:rFonts w:ascii="Times New Roman" w:hAnsi="Times New Roman" w:cs="Times New Roman"/>
          <w:color w:val="auto"/>
          <w:sz w:val="24"/>
        </w:rPr>
      </w:pPr>
    </w:p>
    <w:p w14:paraId="0A5C8D35" w14:textId="77777777" w:rsidR="00F43911" w:rsidRPr="00396116" w:rsidRDefault="00F43911" w:rsidP="00F43911">
      <w:pPr>
        <w:pStyle w:val="Titlelevel2"/>
        <w:spacing w:before="0"/>
        <w:rPr>
          <w:rFonts w:ascii="Times New Roman" w:hAnsi="Times New Roman" w:cs="Times New Roman"/>
          <w:color w:val="auto"/>
          <w:sz w:val="24"/>
        </w:rPr>
      </w:pPr>
      <w:r w:rsidRPr="00396116">
        <w:rPr>
          <w:rFonts w:ascii="Times New Roman" w:hAnsi="Times New Roman"/>
          <w:b/>
          <w:color w:val="auto"/>
          <w:sz w:val="24"/>
        </w:rPr>
        <w:t xml:space="preserve">Wzór EU CCR5 – Struktura zabezpieczenia dla ekspozycji na ryzyko kredytowe kontrahenta (CCR). </w:t>
      </w:r>
      <w:r w:rsidRPr="00396116">
        <w:rPr>
          <w:rFonts w:ascii="Times New Roman" w:hAnsi="Times New Roman"/>
          <w:color w:val="auto"/>
          <w:sz w:val="24"/>
        </w:rPr>
        <w:t>Stałe kolumny</w:t>
      </w:r>
    </w:p>
    <w:p w14:paraId="1BA1E0E1" w14:textId="5021D3B2" w:rsidR="00F43911" w:rsidRPr="00396116"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396116">
        <w:rPr>
          <w:rFonts w:ascii="Times New Roman" w:hAnsi="Times New Roman"/>
          <w:color w:val="000000"/>
          <w:sz w:val="24"/>
        </w:rPr>
        <w:t>W celu wypełnienia wzoru EU CCR5 zamieszczonego w załączniku XXV do rozwiązań informatycznych EUNB instytucje ujawniają informacje, o których mowa w art. 439 lit. e) rozporządzenia (UE) nr 575/2013, zgodnie z poniższymi instrukcjami zawartymi w niniejszym załączniku.</w:t>
      </w:r>
    </w:p>
    <w:p w14:paraId="2C3CDB2D" w14:textId="77777777" w:rsidR="00F43911" w:rsidRPr="00396116"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396116">
        <w:rPr>
          <w:rFonts w:ascii="Times New Roman" w:hAnsi="Times New Roman"/>
          <w:color w:val="000000"/>
          <w:sz w:val="24"/>
        </w:rPr>
        <w:t xml:space="preserve">Przedmiotowy wzór należy wypełnić wartościami godziwymi zabezpieczenia (udzielonego lub otrzymanego) zastosowanymi do obliczenia ekspozycji na ryzyko kredytowe kontrahenta związanych z transakcjami na instrumentach pochodnych lub SFT, niezależnie od tego, czy zostały one rozliczone za pośrednictwem kontrahenta centralnego oraz czy zabezpieczenia udzielono kontrahentowi centralnemu. </w:t>
      </w:r>
    </w:p>
    <w:p w14:paraId="35B1131B" w14:textId="77777777" w:rsidR="00F43911" w:rsidRPr="00396116"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396116">
        <w:rPr>
          <w:rFonts w:ascii="Times New Roman" w:hAnsi="Times New Roman"/>
          <w:color w:val="000000"/>
          <w:sz w:val="24"/>
        </w:rPr>
        <w:lastRenderedPageBreak/>
        <w:t>Jeżeli bank centralny państwa członkowskiego zobowiązał się do udzielenia wsparcia płynnościowego w formie transakcji zabezpieczających swap, właściwy organ może zwolnić instytucje z obowiązku udzielenia informacji w niniejszym wzorze, jeżeli uzna, że ich ujawnienie mogłoby doprowadzić do upublicznienia faktu, że dana instytucja korzysta z awaryjnego wsparcia płynnościowego. W tym celu właściwy organ ustanawia odpowiednie progi i obiektywne kryteria.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396116"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396116" w:rsidRDefault="00F43911" w:rsidP="004F3087">
            <w:pPr>
              <w:spacing w:after="240"/>
              <w:rPr>
                <w:rFonts w:ascii="Times New Roman" w:hAnsi="Times New Roman" w:cs="Times New Roman"/>
                <w:b/>
                <w:sz w:val="24"/>
              </w:rPr>
            </w:pPr>
            <w:r w:rsidRPr="00396116">
              <w:rPr>
                <w:rFonts w:ascii="Times New Roman" w:hAnsi="Times New Roman"/>
                <w:b/>
                <w:sz w:val="24"/>
              </w:rPr>
              <w:t>Odniesienia prawne i instrukcje</w:t>
            </w:r>
          </w:p>
        </w:tc>
      </w:tr>
      <w:tr w:rsidR="00F43911" w:rsidRPr="00396116" w14:paraId="32B68885" w14:textId="77777777" w:rsidTr="004F3087">
        <w:trPr>
          <w:trHeight w:val="238"/>
        </w:trPr>
        <w:tc>
          <w:tcPr>
            <w:tcW w:w="1384" w:type="dxa"/>
            <w:shd w:val="clear" w:color="auto" w:fill="D9D9D9" w:themeFill="background1" w:themeFillShade="D9"/>
          </w:tcPr>
          <w:p w14:paraId="61EC8932" w14:textId="02AB1BB1" w:rsidR="00F43911" w:rsidRPr="00396116" w:rsidRDefault="00365E5D" w:rsidP="004F3087">
            <w:pPr>
              <w:autoSpaceDE w:val="0"/>
              <w:autoSpaceDN w:val="0"/>
              <w:adjustRightInd w:val="0"/>
              <w:spacing w:after="240"/>
              <w:jc w:val="center"/>
              <w:rPr>
                <w:rFonts w:ascii="Times New Roman" w:hAnsi="Times New Roman" w:cs="Times New Roman"/>
                <w:b/>
                <w:sz w:val="24"/>
              </w:rPr>
            </w:pPr>
            <w:r w:rsidRPr="00396116">
              <w:rPr>
                <w:rFonts w:ascii="Times New Roman" w:hAnsi="Times New Roman"/>
                <w:b/>
                <w:sz w:val="24"/>
              </w:rPr>
              <w:t>Oznaczenie wiersza</w:t>
            </w:r>
          </w:p>
        </w:tc>
        <w:tc>
          <w:tcPr>
            <w:tcW w:w="7655" w:type="dxa"/>
            <w:shd w:val="clear" w:color="auto" w:fill="D9D9D9" w:themeFill="background1" w:themeFillShade="D9"/>
          </w:tcPr>
          <w:p w14:paraId="4A5825FF" w14:textId="77777777" w:rsidR="00F43911" w:rsidRPr="00396116" w:rsidRDefault="00F43911" w:rsidP="004F3087">
            <w:pPr>
              <w:autoSpaceDE w:val="0"/>
              <w:autoSpaceDN w:val="0"/>
              <w:adjustRightInd w:val="0"/>
              <w:spacing w:after="240"/>
              <w:rPr>
                <w:rFonts w:ascii="Times New Roman" w:hAnsi="Times New Roman" w:cs="Times New Roman"/>
                <w:color w:val="000000"/>
                <w:sz w:val="24"/>
              </w:rPr>
            </w:pPr>
            <w:r w:rsidRPr="00396116">
              <w:rPr>
                <w:rFonts w:ascii="Times New Roman" w:hAnsi="Times New Roman"/>
                <w:b/>
                <w:sz w:val="24"/>
              </w:rPr>
              <w:t>Wyjaśnienie</w:t>
            </w:r>
          </w:p>
        </w:tc>
      </w:tr>
      <w:tr w:rsidR="00F43911" w:rsidRPr="00396116" w14:paraId="40BB2DFC" w14:textId="77777777" w:rsidTr="004F3087">
        <w:trPr>
          <w:trHeight w:val="680"/>
        </w:trPr>
        <w:tc>
          <w:tcPr>
            <w:tcW w:w="1384" w:type="dxa"/>
          </w:tcPr>
          <w:p w14:paraId="1FA02AD6" w14:textId="753529C4" w:rsidR="00F43911" w:rsidRPr="00396116" w:rsidRDefault="00F43911" w:rsidP="004F3087">
            <w:pPr>
              <w:pStyle w:val="Applicationdirecte"/>
              <w:spacing w:before="0" w:after="240"/>
              <w:jc w:val="center"/>
            </w:pPr>
            <w:r w:rsidRPr="00396116">
              <w:t>1</w:t>
            </w:r>
            <w:r w:rsidR="002149B1" w:rsidRPr="00396116">
              <w:t>–</w:t>
            </w:r>
            <w:r w:rsidRPr="00396116">
              <w:t>8</w:t>
            </w:r>
          </w:p>
        </w:tc>
        <w:tc>
          <w:tcPr>
            <w:tcW w:w="7655" w:type="dxa"/>
            <w:vAlign w:val="center"/>
          </w:tcPr>
          <w:p w14:paraId="5E982962" w14:textId="77777777" w:rsidR="00F43911" w:rsidRPr="00396116" w:rsidRDefault="00F43911" w:rsidP="004F3087">
            <w:pPr>
              <w:spacing w:after="240"/>
              <w:jc w:val="both"/>
              <w:rPr>
                <w:rFonts w:ascii="Times New Roman" w:eastAsia="Times New Roman" w:hAnsi="Times New Roman" w:cs="Times New Roman"/>
                <w:b/>
                <w:sz w:val="24"/>
              </w:rPr>
            </w:pPr>
            <w:r w:rsidRPr="00396116">
              <w:rPr>
                <w:rFonts w:ascii="Times New Roman" w:hAnsi="Times New Roman"/>
                <w:b/>
                <w:sz w:val="24"/>
              </w:rPr>
              <w:t>Rodzaj zabezpieczenia</w:t>
            </w:r>
          </w:p>
          <w:p w14:paraId="0E78860C" w14:textId="77777777"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Podział według rodzaju zabezpieczenia</w:t>
            </w:r>
          </w:p>
        </w:tc>
      </w:tr>
      <w:tr w:rsidR="00F43911" w:rsidRPr="00396116" w14:paraId="2B9EF130" w14:textId="77777777" w:rsidTr="004F3087">
        <w:trPr>
          <w:trHeight w:val="680"/>
        </w:trPr>
        <w:tc>
          <w:tcPr>
            <w:tcW w:w="1384" w:type="dxa"/>
          </w:tcPr>
          <w:p w14:paraId="67DFFC27" w14:textId="77777777" w:rsidR="00F43911" w:rsidRPr="00396116" w:rsidRDefault="00F43911" w:rsidP="004F3087">
            <w:pPr>
              <w:pStyle w:val="Applicationdirecte"/>
              <w:spacing w:before="0" w:after="240"/>
              <w:jc w:val="center"/>
            </w:pPr>
            <w:r w:rsidRPr="00396116">
              <w:t>9</w:t>
            </w:r>
          </w:p>
        </w:tc>
        <w:tc>
          <w:tcPr>
            <w:tcW w:w="7655" w:type="dxa"/>
          </w:tcPr>
          <w:p w14:paraId="16D95BAE" w14:textId="77777777" w:rsidR="00F43911" w:rsidRPr="00396116" w:rsidRDefault="00F43911" w:rsidP="004F3087">
            <w:pPr>
              <w:spacing w:after="240"/>
              <w:rPr>
                <w:rFonts w:ascii="Times New Roman" w:eastAsia="Times New Roman" w:hAnsi="Times New Roman" w:cs="Times New Roman"/>
                <w:b/>
                <w:sz w:val="24"/>
              </w:rPr>
            </w:pPr>
            <w:r w:rsidRPr="00396116">
              <w:rPr>
                <w:rFonts w:ascii="Times New Roman" w:hAnsi="Times New Roman"/>
                <w:b/>
                <w:sz w:val="24"/>
              </w:rPr>
              <w:t>Ogółem</w:t>
            </w:r>
          </w:p>
        </w:tc>
      </w:tr>
      <w:tr w:rsidR="00F43911" w:rsidRPr="00396116"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396116" w:rsidRDefault="00F43911" w:rsidP="004F3087">
            <w:pPr>
              <w:pStyle w:val="Applicationdirecte"/>
              <w:spacing w:before="0" w:after="240"/>
              <w:jc w:val="center"/>
              <w:rPr>
                <w:b/>
              </w:rPr>
            </w:pPr>
            <w:r w:rsidRPr="00396116">
              <w:rPr>
                <w:b/>
              </w:rPr>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396116" w:rsidRDefault="00F43911" w:rsidP="004F3087">
            <w:pPr>
              <w:pStyle w:val="TableMainHeading"/>
              <w:spacing w:before="0" w:after="240"/>
              <w:rPr>
                <w:rFonts w:ascii="Times New Roman" w:hAnsi="Times New Roman"/>
                <w:b/>
                <w:sz w:val="24"/>
                <w:szCs w:val="24"/>
              </w:rPr>
            </w:pPr>
            <w:r w:rsidRPr="00396116">
              <w:rPr>
                <w:rFonts w:ascii="Times New Roman" w:hAnsi="Times New Roman"/>
                <w:b/>
                <w:sz w:val="24"/>
              </w:rPr>
              <w:t>Wyjaśnienie</w:t>
            </w:r>
          </w:p>
        </w:tc>
      </w:tr>
      <w:tr w:rsidR="00F43911" w:rsidRPr="00396116" w14:paraId="1561EBA0" w14:textId="77777777" w:rsidTr="004F3087">
        <w:trPr>
          <w:trHeight w:val="416"/>
        </w:trPr>
        <w:tc>
          <w:tcPr>
            <w:tcW w:w="1384" w:type="dxa"/>
          </w:tcPr>
          <w:p w14:paraId="338F53CF" w14:textId="77777777" w:rsidR="00F43911" w:rsidRPr="00396116" w:rsidRDefault="00F43911" w:rsidP="004F3087">
            <w:pPr>
              <w:pStyle w:val="Applicationdirecte"/>
              <w:spacing w:before="0" w:after="240"/>
              <w:jc w:val="center"/>
            </w:pPr>
            <w:r w:rsidRPr="00396116">
              <w:t>a, c, e oraz g</w:t>
            </w:r>
          </w:p>
        </w:tc>
        <w:tc>
          <w:tcPr>
            <w:tcW w:w="7655" w:type="dxa"/>
            <w:vAlign w:val="center"/>
          </w:tcPr>
          <w:p w14:paraId="1C8EF39C" w14:textId="77777777" w:rsidR="00F43911" w:rsidRPr="00396116" w:rsidRDefault="00F43911" w:rsidP="004F3087">
            <w:pPr>
              <w:spacing w:after="240"/>
              <w:jc w:val="both"/>
              <w:rPr>
                <w:rFonts w:ascii="Times New Roman" w:eastAsia="Calibri" w:hAnsi="Times New Roman" w:cs="Times New Roman"/>
                <w:b/>
                <w:sz w:val="24"/>
              </w:rPr>
            </w:pPr>
            <w:r w:rsidRPr="00396116">
              <w:rPr>
                <w:rFonts w:ascii="Times New Roman" w:hAnsi="Times New Roman"/>
                <w:b/>
                <w:sz w:val="24"/>
              </w:rPr>
              <w:t>Wyodrębnione</w:t>
            </w:r>
          </w:p>
          <w:p w14:paraId="33245F1F" w14:textId="6699E1D8"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Zabezpieczenie utrzymywane na zasadzie wyłączenia z masy upadłościowej zgodnie z definicją ustanowioną w art. 300 pkt 1 rozporządzenia (UE) nr 575/2013.</w:t>
            </w:r>
          </w:p>
        </w:tc>
      </w:tr>
      <w:tr w:rsidR="00F43911" w:rsidRPr="00396116" w14:paraId="7FF41939" w14:textId="77777777" w:rsidTr="004F3087">
        <w:trPr>
          <w:trHeight w:val="680"/>
        </w:trPr>
        <w:tc>
          <w:tcPr>
            <w:tcW w:w="1384" w:type="dxa"/>
          </w:tcPr>
          <w:p w14:paraId="689917EA" w14:textId="77777777" w:rsidR="00F43911" w:rsidRPr="00396116" w:rsidRDefault="00F43911" w:rsidP="004F3087">
            <w:pPr>
              <w:pStyle w:val="Applicationdirecte"/>
              <w:spacing w:before="0" w:after="240"/>
              <w:jc w:val="center"/>
            </w:pPr>
            <w:r w:rsidRPr="00396116">
              <w:t>b, d, f oraz h</w:t>
            </w:r>
          </w:p>
        </w:tc>
        <w:tc>
          <w:tcPr>
            <w:tcW w:w="7655" w:type="dxa"/>
            <w:vAlign w:val="center"/>
          </w:tcPr>
          <w:p w14:paraId="54374E17" w14:textId="77777777" w:rsidR="00F43911" w:rsidRPr="00396116" w:rsidRDefault="00F43911" w:rsidP="004F3087">
            <w:pPr>
              <w:spacing w:after="240"/>
              <w:jc w:val="both"/>
              <w:rPr>
                <w:rFonts w:ascii="Times New Roman" w:eastAsia="Calibri" w:hAnsi="Times New Roman" w:cs="Times New Roman"/>
                <w:b/>
                <w:sz w:val="24"/>
              </w:rPr>
            </w:pPr>
            <w:r w:rsidRPr="00396116">
              <w:rPr>
                <w:rFonts w:ascii="Times New Roman" w:hAnsi="Times New Roman"/>
                <w:b/>
                <w:sz w:val="24"/>
              </w:rPr>
              <w:t>Niewyodrębnione</w:t>
            </w:r>
          </w:p>
          <w:p w14:paraId="68BB9947" w14:textId="3879F65C"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Zabezpieczenie, które nie jest utrzymywane na zasadzie wyłączenia z masy upadłościowej zgodnie z definicją ustanowioną w art. 300 pkt 1 rozporządzenia (UE) nr 575/2013.</w:t>
            </w:r>
          </w:p>
        </w:tc>
      </w:tr>
      <w:tr w:rsidR="00F43911" w:rsidRPr="00396116" w14:paraId="432D8F5C" w14:textId="77777777" w:rsidTr="004F3087">
        <w:trPr>
          <w:trHeight w:val="680"/>
        </w:trPr>
        <w:tc>
          <w:tcPr>
            <w:tcW w:w="1384" w:type="dxa"/>
          </w:tcPr>
          <w:p w14:paraId="52789724" w14:textId="77777777" w:rsidR="00F43911" w:rsidRPr="00396116" w:rsidRDefault="00F43911" w:rsidP="004F3087">
            <w:pPr>
              <w:pStyle w:val="Applicationdirecte"/>
              <w:spacing w:before="0" w:after="240"/>
              <w:jc w:val="center"/>
            </w:pPr>
            <w:r w:rsidRPr="00396116">
              <w:t>a–d</w:t>
            </w:r>
          </w:p>
        </w:tc>
        <w:tc>
          <w:tcPr>
            <w:tcW w:w="7655" w:type="dxa"/>
            <w:vAlign w:val="center"/>
          </w:tcPr>
          <w:p w14:paraId="774B2E98" w14:textId="77777777" w:rsidR="00F43911" w:rsidRPr="00396116" w:rsidRDefault="00F43911" w:rsidP="004F3087">
            <w:pPr>
              <w:pStyle w:val="numberedparagraph"/>
              <w:numPr>
                <w:ilvl w:val="0"/>
                <w:numId w:val="0"/>
              </w:numPr>
              <w:spacing w:before="0" w:after="240" w:line="240" w:lineRule="auto"/>
              <w:rPr>
                <w:rFonts w:ascii="Times New Roman" w:hAnsi="Times New Roman" w:cs="Times New Roman"/>
                <w:b/>
                <w:sz w:val="24"/>
              </w:rPr>
            </w:pPr>
            <w:r w:rsidRPr="00396116">
              <w:rPr>
                <w:rFonts w:ascii="Times New Roman" w:hAnsi="Times New Roman"/>
                <w:b/>
                <w:sz w:val="24"/>
              </w:rPr>
              <w:t>Zabezpieczenia stosowane w transakcjach na instrumentach pochodnych</w:t>
            </w:r>
          </w:p>
          <w:p w14:paraId="1A477A5A" w14:textId="507C455F" w:rsidR="00F43911" w:rsidRPr="00396116" w:rsidRDefault="00F43911" w:rsidP="004F3087">
            <w:pPr>
              <w:pStyle w:val="numberedparagraph"/>
              <w:numPr>
                <w:ilvl w:val="0"/>
                <w:numId w:val="0"/>
              </w:numPr>
              <w:spacing w:before="0" w:after="240" w:line="240" w:lineRule="auto"/>
              <w:rPr>
                <w:rFonts w:ascii="Times New Roman" w:hAnsi="Times New Roman" w:cs="Times New Roman"/>
                <w:sz w:val="24"/>
              </w:rPr>
            </w:pPr>
            <w:r w:rsidRPr="00396116">
              <w:rPr>
                <w:rFonts w:ascii="Times New Roman" w:hAnsi="Times New Roman"/>
                <w:sz w:val="24"/>
              </w:rPr>
              <w:t>Zabezpieczenia (w tym zabezpieczenie w postaci początkowego depozytu zabezpieczającego i zabezpieczenie w postaci zmiennego depozytu zabezpieczającego) stosowane do obliczenia ekspozycji na ryzyko kredytowe kontrahenta związanych z dowolnym instrumentem pochodnym wymienionym w załączniku II do rozporządzenia (UE) nr 575/2013 lub z transakcją z długim terminem rozliczenia zgodnie z art. 271 ust. 2 rozporządzenia (UE) nr 575/2013, która nie kwalifikuje się do uznania jej za SFT.</w:t>
            </w:r>
          </w:p>
        </w:tc>
      </w:tr>
      <w:tr w:rsidR="00F43911" w:rsidRPr="00396116" w14:paraId="51EF5990" w14:textId="77777777" w:rsidTr="004F3087">
        <w:trPr>
          <w:trHeight w:val="680"/>
        </w:trPr>
        <w:tc>
          <w:tcPr>
            <w:tcW w:w="1384" w:type="dxa"/>
          </w:tcPr>
          <w:p w14:paraId="45E18CE5" w14:textId="77777777" w:rsidR="00F43911" w:rsidRPr="00396116" w:rsidRDefault="00F43911" w:rsidP="004F3087">
            <w:pPr>
              <w:pStyle w:val="Applicationdirecte"/>
              <w:spacing w:before="0" w:after="240"/>
              <w:jc w:val="center"/>
            </w:pPr>
            <w:r w:rsidRPr="00396116">
              <w:t>e–h</w:t>
            </w:r>
          </w:p>
        </w:tc>
        <w:tc>
          <w:tcPr>
            <w:tcW w:w="7655" w:type="dxa"/>
            <w:vAlign w:val="center"/>
          </w:tcPr>
          <w:p w14:paraId="78E70A2D" w14:textId="77777777" w:rsidR="00F43911" w:rsidRPr="00396116" w:rsidRDefault="00F43911" w:rsidP="004F3087">
            <w:pPr>
              <w:pStyle w:val="numberedparagraph"/>
              <w:numPr>
                <w:ilvl w:val="0"/>
                <w:numId w:val="0"/>
              </w:numPr>
              <w:spacing w:before="0" w:after="240" w:line="240" w:lineRule="auto"/>
              <w:rPr>
                <w:rFonts w:ascii="Times New Roman" w:hAnsi="Times New Roman" w:cs="Times New Roman"/>
                <w:b/>
                <w:sz w:val="24"/>
              </w:rPr>
            </w:pPr>
            <w:r w:rsidRPr="00396116">
              <w:rPr>
                <w:rFonts w:ascii="Times New Roman" w:hAnsi="Times New Roman"/>
                <w:b/>
                <w:sz w:val="24"/>
              </w:rPr>
              <w:t>Zabezpieczenia stosowane w SFT</w:t>
            </w:r>
          </w:p>
          <w:p w14:paraId="527E4A25" w14:textId="77777777" w:rsidR="00F43911" w:rsidRPr="00396116" w:rsidRDefault="00F43911" w:rsidP="004F3087">
            <w:pPr>
              <w:pStyle w:val="numberedparagraph"/>
              <w:numPr>
                <w:ilvl w:val="0"/>
                <w:numId w:val="0"/>
              </w:numPr>
              <w:spacing w:before="0" w:after="240" w:line="240" w:lineRule="auto"/>
              <w:rPr>
                <w:rFonts w:ascii="Times New Roman" w:hAnsi="Times New Roman" w:cs="Times New Roman"/>
                <w:sz w:val="24"/>
              </w:rPr>
            </w:pPr>
            <w:r w:rsidRPr="00396116">
              <w:rPr>
                <w:rFonts w:ascii="Times New Roman" w:hAnsi="Times New Roman"/>
                <w:sz w:val="24"/>
              </w:rPr>
              <w:t xml:space="preserve">Zabezpieczenia (w tym zabezpieczenie w postaci początkowego depozytu zabezpieczającego i zabezpieczenie w postaci zmiennego depozytu zabezpieczającego, jak również zabezpieczenie w postaci części transakcji obejmującej papiery wartościowe wykorzystywane w ramach SFT) stosowane do obliczenia ekspozycji na ryzyko kredytowe kontrahenta związanych z </w:t>
            </w:r>
            <w:r w:rsidRPr="00396116">
              <w:rPr>
                <w:rFonts w:ascii="Times New Roman" w:hAnsi="Times New Roman"/>
                <w:sz w:val="24"/>
              </w:rPr>
              <w:lastRenderedPageBreak/>
              <w:t>dowolną transakcją finansowaną z użyciem papierów wartościowych lub transakcją z długim terminem rozliczenia, która nie kwalifikuje się do uznania jej za instrument pochodny</w:t>
            </w:r>
          </w:p>
        </w:tc>
      </w:tr>
    </w:tbl>
    <w:p w14:paraId="664BC745" w14:textId="77777777" w:rsidR="00F43911" w:rsidRPr="00396116" w:rsidRDefault="00F43911" w:rsidP="00F43911">
      <w:pPr>
        <w:pStyle w:val="Titlelevel2"/>
        <w:spacing w:before="0"/>
        <w:rPr>
          <w:rFonts w:ascii="Times New Roman" w:hAnsi="Times New Roman" w:cs="Times New Roman"/>
          <w:color w:val="auto"/>
          <w:sz w:val="24"/>
        </w:rPr>
      </w:pPr>
    </w:p>
    <w:p w14:paraId="042899BB" w14:textId="77777777" w:rsidR="00F43911" w:rsidRPr="00396116" w:rsidRDefault="00F43911" w:rsidP="00F43911">
      <w:pPr>
        <w:pStyle w:val="Titlelevel2"/>
        <w:spacing w:before="0"/>
        <w:rPr>
          <w:rFonts w:ascii="Times New Roman" w:hAnsi="Times New Roman" w:cs="Times New Roman"/>
          <w:color w:val="auto"/>
          <w:sz w:val="24"/>
        </w:rPr>
      </w:pPr>
      <w:r w:rsidRPr="00396116">
        <w:rPr>
          <w:rFonts w:ascii="Times New Roman" w:hAnsi="Times New Roman"/>
          <w:b/>
          <w:color w:val="auto"/>
          <w:sz w:val="24"/>
        </w:rPr>
        <w:t xml:space="preserve">Wzór EU CCR6 – Ekspozycje z tytułu kredytowych instrumentów pochodnych. </w:t>
      </w:r>
      <w:r w:rsidRPr="00396116">
        <w:rPr>
          <w:rFonts w:ascii="Times New Roman" w:hAnsi="Times New Roman"/>
          <w:color w:val="auto"/>
          <w:sz w:val="24"/>
        </w:rPr>
        <w:t>Format stały</w:t>
      </w:r>
    </w:p>
    <w:p w14:paraId="249E517C" w14:textId="75CDD354" w:rsidR="00F43911" w:rsidRPr="00396116"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396116">
        <w:rPr>
          <w:rFonts w:ascii="Times New Roman" w:hAnsi="Times New Roman"/>
          <w:color w:val="000000"/>
          <w:sz w:val="24"/>
        </w:rPr>
        <w:t>W celu wypełnienia wzoru EU CCR6 zamieszczonego w załączniku XXV do rozwiązań informatycznych EUNB instytucje ujawniają informacje, o których mowa w art. 439 lit. j) rozporządzenia (UE) nr 575/2013, zgodnie z poniższymi instrukcjami zawartymi w niniejszym załączniku.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396116"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396116" w:rsidRDefault="00F43911" w:rsidP="004F3087">
            <w:pPr>
              <w:spacing w:after="240"/>
              <w:rPr>
                <w:rFonts w:ascii="Times New Roman" w:hAnsi="Times New Roman" w:cs="Times New Roman"/>
                <w:b/>
                <w:sz w:val="24"/>
              </w:rPr>
            </w:pPr>
            <w:r w:rsidRPr="00396116">
              <w:rPr>
                <w:rFonts w:ascii="Times New Roman" w:hAnsi="Times New Roman"/>
                <w:b/>
                <w:sz w:val="24"/>
              </w:rPr>
              <w:t>Odniesienia prawne i instrukcje</w:t>
            </w:r>
          </w:p>
        </w:tc>
      </w:tr>
      <w:tr w:rsidR="00F43911" w:rsidRPr="00396116" w14:paraId="123E5F61" w14:textId="77777777" w:rsidTr="004F3087">
        <w:trPr>
          <w:trHeight w:val="238"/>
        </w:trPr>
        <w:tc>
          <w:tcPr>
            <w:tcW w:w="1384" w:type="dxa"/>
            <w:shd w:val="clear" w:color="auto" w:fill="D9D9D9" w:themeFill="background1" w:themeFillShade="D9"/>
          </w:tcPr>
          <w:p w14:paraId="4E4AA3F7" w14:textId="5C0AA1C0" w:rsidR="00F43911" w:rsidRPr="00396116" w:rsidRDefault="00365E5D" w:rsidP="004F3087">
            <w:pPr>
              <w:autoSpaceDE w:val="0"/>
              <w:autoSpaceDN w:val="0"/>
              <w:adjustRightInd w:val="0"/>
              <w:spacing w:after="240"/>
              <w:jc w:val="center"/>
              <w:rPr>
                <w:rFonts w:ascii="Times New Roman" w:hAnsi="Times New Roman" w:cs="Times New Roman"/>
                <w:b/>
                <w:sz w:val="24"/>
              </w:rPr>
            </w:pPr>
            <w:r w:rsidRPr="00396116">
              <w:rPr>
                <w:rFonts w:ascii="Times New Roman" w:hAnsi="Times New Roman"/>
                <w:b/>
                <w:sz w:val="24"/>
              </w:rPr>
              <w:t>Oznaczenie wiersza</w:t>
            </w:r>
          </w:p>
        </w:tc>
        <w:tc>
          <w:tcPr>
            <w:tcW w:w="7655" w:type="dxa"/>
            <w:shd w:val="clear" w:color="auto" w:fill="D9D9D9" w:themeFill="background1" w:themeFillShade="D9"/>
          </w:tcPr>
          <w:p w14:paraId="20810F8D" w14:textId="77777777" w:rsidR="00F43911" w:rsidRPr="00396116" w:rsidRDefault="00F43911" w:rsidP="004F3087">
            <w:pPr>
              <w:autoSpaceDE w:val="0"/>
              <w:autoSpaceDN w:val="0"/>
              <w:adjustRightInd w:val="0"/>
              <w:spacing w:after="240"/>
              <w:rPr>
                <w:rFonts w:ascii="Times New Roman" w:hAnsi="Times New Roman" w:cs="Times New Roman"/>
                <w:color w:val="000000"/>
                <w:sz w:val="24"/>
              </w:rPr>
            </w:pPr>
            <w:r w:rsidRPr="00396116">
              <w:rPr>
                <w:rFonts w:ascii="Times New Roman" w:hAnsi="Times New Roman"/>
                <w:b/>
                <w:sz w:val="24"/>
              </w:rPr>
              <w:t>Wyjaśnienie</w:t>
            </w:r>
          </w:p>
        </w:tc>
      </w:tr>
      <w:tr w:rsidR="00F43911" w:rsidRPr="00396116"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1F3B8B5D" w:rsidR="00F43911" w:rsidRPr="00396116" w:rsidRDefault="00F43911" w:rsidP="004F3087">
            <w:pPr>
              <w:autoSpaceDE w:val="0"/>
              <w:autoSpaceDN w:val="0"/>
              <w:adjustRightInd w:val="0"/>
              <w:spacing w:after="240"/>
              <w:jc w:val="center"/>
              <w:rPr>
                <w:rFonts w:ascii="Times New Roman" w:hAnsi="Times New Roman" w:cs="Times New Roman"/>
                <w:sz w:val="24"/>
              </w:rPr>
            </w:pPr>
            <w:r w:rsidRPr="00396116">
              <w:rPr>
                <w:rFonts w:ascii="Times New Roman" w:hAnsi="Times New Roman"/>
                <w:sz w:val="24"/>
              </w:rPr>
              <w:t>1</w:t>
            </w:r>
            <w:r w:rsidR="002149B1" w:rsidRPr="00396116">
              <w:rPr>
                <w:rFonts w:ascii="Times New Roman" w:hAnsi="Times New Roman"/>
                <w:sz w:val="24"/>
              </w:rPr>
              <w:t>–</w:t>
            </w:r>
            <w:r w:rsidRPr="00396116">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77777777" w:rsidR="00F43911" w:rsidRPr="00396116" w:rsidRDefault="00F43911" w:rsidP="004F3087">
            <w:pPr>
              <w:autoSpaceDE w:val="0"/>
              <w:autoSpaceDN w:val="0"/>
              <w:adjustRightInd w:val="0"/>
              <w:spacing w:after="240"/>
              <w:rPr>
                <w:rFonts w:ascii="Times New Roman" w:hAnsi="Times New Roman" w:cs="Times New Roman"/>
                <w:b/>
                <w:sz w:val="24"/>
              </w:rPr>
            </w:pPr>
            <w:r w:rsidRPr="00396116">
              <w:rPr>
                <w:rFonts w:ascii="Times New Roman" w:hAnsi="Times New Roman"/>
                <w:b/>
                <w:sz w:val="24"/>
              </w:rPr>
              <w:t xml:space="preserve">Kwoty referencyjne </w:t>
            </w:r>
          </w:p>
          <w:p w14:paraId="68247A3E" w14:textId="77777777" w:rsidR="00F43911" w:rsidRPr="00396116" w:rsidRDefault="00F43911" w:rsidP="004F3087">
            <w:pPr>
              <w:autoSpaceDE w:val="0"/>
              <w:autoSpaceDN w:val="0"/>
              <w:adjustRightInd w:val="0"/>
              <w:spacing w:after="240"/>
              <w:rPr>
                <w:rFonts w:ascii="Times New Roman" w:hAnsi="Times New Roman" w:cs="Times New Roman"/>
                <w:sz w:val="24"/>
              </w:rPr>
            </w:pPr>
            <w:r w:rsidRPr="00396116">
              <w:rPr>
                <w:rFonts w:ascii="Times New Roman" w:hAnsi="Times New Roman"/>
                <w:sz w:val="24"/>
              </w:rPr>
              <w:t>Suma kwot referencyjnych instrumentu pochodnego w ujęciu bezwzględnym, przed jakimkolwiek kompensowaniem, w podziale na rodzaje produktów</w:t>
            </w:r>
          </w:p>
        </w:tc>
      </w:tr>
      <w:tr w:rsidR="00F43911" w:rsidRPr="00396116"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197D48B2" w:rsidR="00F43911" w:rsidRPr="00396116" w:rsidRDefault="00F43911" w:rsidP="004F3087">
            <w:pPr>
              <w:autoSpaceDE w:val="0"/>
              <w:autoSpaceDN w:val="0"/>
              <w:adjustRightInd w:val="0"/>
              <w:spacing w:after="240"/>
              <w:jc w:val="center"/>
              <w:rPr>
                <w:rFonts w:ascii="Times New Roman" w:hAnsi="Times New Roman" w:cs="Times New Roman"/>
                <w:sz w:val="24"/>
              </w:rPr>
            </w:pPr>
            <w:r w:rsidRPr="00396116">
              <w:rPr>
                <w:rFonts w:ascii="Times New Roman" w:hAnsi="Times New Roman"/>
                <w:sz w:val="24"/>
              </w:rPr>
              <w:t>7</w:t>
            </w:r>
            <w:r w:rsidR="002149B1" w:rsidRPr="00396116">
              <w:rPr>
                <w:rFonts w:ascii="Times New Roman" w:hAnsi="Times New Roman"/>
                <w:sz w:val="24"/>
              </w:rPr>
              <w:t>–</w:t>
            </w:r>
            <w:r w:rsidRPr="00396116">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396116" w:rsidRDefault="00F43911" w:rsidP="004F3087">
            <w:pPr>
              <w:autoSpaceDE w:val="0"/>
              <w:autoSpaceDN w:val="0"/>
              <w:adjustRightInd w:val="0"/>
              <w:spacing w:after="240"/>
              <w:rPr>
                <w:rFonts w:ascii="Times New Roman" w:hAnsi="Times New Roman" w:cs="Times New Roman"/>
                <w:b/>
                <w:sz w:val="24"/>
              </w:rPr>
            </w:pPr>
            <w:r w:rsidRPr="00396116">
              <w:rPr>
                <w:rFonts w:ascii="Times New Roman" w:hAnsi="Times New Roman"/>
                <w:b/>
                <w:sz w:val="24"/>
              </w:rPr>
              <w:t>Wartości godziwe</w:t>
            </w:r>
          </w:p>
          <w:p w14:paraId="43A6974F" w14:textId="77777777" w:rsidR="00F43911" w:rsidRPr="00396116" w:rsidRDefault="00F43911" w:rsidP="004F3087">
            <w:pPr>
              <w:autoSpaceDE w:val="0"/>
              <w:autoSpaceDN w:val="0"/>
              <w:adjustRightInd w:val="0"/>
              <w:spacing w:after="240"/>
              <w:rPr>
                <w:rFonts w:ascii="Times New Roman" w:hAnsi="Times New Roman" w:cs="Times New Roman"/>
                <w:i/>
                <w:sz w:val="24"/>
              </w:rPr>
            </w:pPr>
            <w:r w:rsidRPr="00396116">
              <w:rPr>
                <w:rFonts w:ascii="Times New Roman" w:hAnsi="Times New Roman"/>
                <w:sz w:val="24"/>
              </w:rPr>
              <w:t>Wartości godziwe w podziale na aktywa (dodatnie wartości godziwe) i zobowiązania (ujemne wartości godziwe)</w:t>
            </w:r>
          </w:p>
        </w:tc>
      </w:tr>
      <w:tr w:rsidR="00F43911" w:rsidRPr="00396116"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396116" w:rsidRDefault="00F43911" w:rsidP="004F3087">
            <w:pPr>
              <w:pStyle w:val="Applicationdirecte"/>
              <w:spacing w:before="0" w:after="240"/>
              <w:jc w:val="center"/>
              <w:rPr>
                <w:b/>
              </w:rPr>
            </w:pPr>
            <w:r w:rsidRPr="00396116">
              <w:rPr>
                <w:b/>
              </w:rPr>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396116" w:rsidRDefault="00F43911" w:rsidP="004F3087">
            <w:pPr>
              <w:pStyle w:val="TableMainHeading"/>
              <w:spacing w:before="0" w:after="240"/>
              <w:rPr>
                <w:rFonts w:ascii="Times New Roman" w:hAnsi="Times New Roman"/>
                <w:b/>
                <w:sz w:val="24"/>
                <w:szCs w:val="24"/>
              </w:rPr>
            </w:pPr>
            <w:r w:rsidRPr="00396116">
              <w:rPr>
                <w:rFonts w:ascii="Times New Roman" w:hAnsi="Times New Roman"/>
                <w:b/>
                <w:sz w:val="24"/>
              </w:rPr>
              <w:t>Wyjaśnienie</w:t>
            </w:r>
          </w:p>
        </w:tc>
      </w:tr>
      <w:tr w:rsidR="00F43911" w:rsidRPr="00396116"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396116" w:rsidRDefault="00F43911" w:rsidP="004F3087">
            <w:pPr>
              <w:autoSpaceDE w:val="0"/>
              <w:autoSpaceDN w:val="0"/>
              <w:adjustRightInd w:val="0"/>
              <w:spacing w:after="240"/>
              <w:jc w:val="center"/>
              <w:rPr>
                <w:rFonts w:ascii="Times New Roman" w:hAnsi="Times New Roman" w:cs="Times New Roman"/>
                <w:sz w:val="24"/>
              </w:rPr>
            </w:pPr>
            <w:r w:rsidRPr="00396116">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396116" w:rsidRDefault="00F43911" w:rsidP="004F3087">
            <w:pPr>
              <w:autoSpaceDE w:val="0"/>
              <w:autoSpaceDN w:val="0"/>
              <w:adjustRightInd w:val="0"/>
              <w:spacing w:after="240"/>
              <w:rPr>
                <w:rFonts w:ascii="Times New Roman" w:hAnsi="Times New Roman" w:cs="Times New Roman"/>
                <w:b/>
                <w:color w:val="000000"/>
                <w:sz w:val="24"/>
              </w:rPr>
            </w:pPr>
            <w:r w:rsidRPr="00396116">
              <w:rPr>
                <w:rFonts w:ascii="Times New Roman" w:hAnsi="Times New Roman"/>
                <w:b/>
                <w:color w:val="000000"/>
                <w:sz w:val="24"/>
              </w:rPr>
              <w:t>Ochrona w postaci kredytowego instrumentu pochodnego</w:t>
            </w:r>
          </w:p>
          <w:p w14:paraId="321E0F5D" w14:textId="63C4245C" w:rsidR="00F43911" w:rsidRPr="00396116" w:rsidRDefault="00F43911" w:rsidP="004F3087">
            <w:pPr>
              <w:autoSpaceDE w:val="0"/>
              <w:autoSpaceDN w:val="0"/>
              <w:adjustRightInd w:val="0"/>
              <w:spacing w:after="240"/>
              <w:jc w:val="both"/>
              <w:rPr>
                <w:rFonts w:ascii="Times New Roman" w:hAnsi="Times New Roman" w:cs="Times New Roman"/>
                <w:b/>
                <w:sz w:val="24"/>
              </w:rPr>
            </w:pPr>
            <w:r w:rsidRPr="00396116">
              <w:rPr>
                <w:rFonts w:ascii="Times New Roman" w:hAnsi="Times New Roman"/>
                <w:color w:val="000000"/>
                <w:sz w:val="24"/>
              </w:rPr>
              <w:t xml:space="preserve">Ochrona w postaci kredytowego instrumentu pochodnego nabytego lub sprzedanego zgodnie z </w:t>
            </w:r>
            <w:r w:rsidRPr="00396116">
              <w:rPr>
                <w:rFonts w:ascii="Times New Roman" w:hAnsi="Times New Roman"/>
                <w:sz w:val="24"/>
              </w:rPr>
              <w:t>częścią trzecią tytuł II rozdział 6 rozporządzenia (UE) nr 575/2013.</w:t>
            </w:r>
          </w:p>
        </w:tc>
      </w:tr>
    </w:tbl>
    <w:p w14:paraId="2A1A8F86" w14:textId="77777777" w:rsidR="00F43911" w:rsidRPr="00396116" w:rsidRDefault="00F43911" w:rsidP="00F43911">
      <w:pPr>
        <w:pStyle w:val="Titlelevel2"/>
        <w:spacing w:before="0"/>
        <w:rPr>
          <w:rFonts w:ascii="Times New Roman" w:hAnsi="Times New Roman" w:cs="Times New Roman"/>
          <w:color w:val="auto"/>
          <w:sz w:val="24"/>
        </w:rPr>
      </w:pPr>
    </w:p>
    <w:p w14:paraId="5800BF80" w14:textId="77777777" w:rsidR="00F43911" w:rsidRPr="00396116" w:rsidRDefault="00F43911" w:rsidP="00F43911">
      <w:pPr>
        <w:pStyle w:val="Titlelevel2"/>
        <w:spacing w:before="0"/>
        <w:rPr>
          <w:rFonts w:ascii="Times New Roman" w:hAnsi="Times New Roman" w:cs="Times New Roman"/>
          <w:b/>
          <w:color w:val="auto"/>
          <w:sz w:val="24"/>
        </w:rPr>
      </w:pPr>
      <w:r w:rsidRPr="00396116">
        <w:rPr>
          <w:rFonts w:ascii="Times New Roman" w:hAnsi="Times New Roman"/>
          <w:b/>
          <w:color w:val="auto"/>
          <w:sz w:val="24"/>
        </w:rPr>
        <w:t xml:space="preserve">Wzór EU CCR7 – Rachunek przepływów kwot ekspozycji ważonych ryzykiem w odniesieniu do ekspozycji na ryzyko kredytowe kontrahenta (CCR) według metody modeli wewnętrznych. </w:t>
      </w:r>
      <w:r w:rsidRPr="00396116">
        <w:rPr>
          <w:rFonts w:ascii="Times New Roman" w:hAnsi="Times New Roman"/>
          <w:color w:val="auto"/>
          <w:sz w:val="24"/>
        </w:rPr>
        <w:t>Format stały</w:t>
      </w:r>
    </w:p>
    <w:p w14:paraId="2FBF77B4" w14:textId="7EA8A8C5" w:rsidR="00F43911" w:rsidRPr="00396116"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396116">
        <w:rPr>
          <w:rFonts w:ascii="Times New Roman" w:hAnsi="Times New Roman"/>
          <w:color w:val="000000"/>
          <w:sz w:val="24"/>
        </w:rPr>
        <w:t>W celu wypełnienia wzoru EU CCR7 zamieszczonego w załączniku XXV do rozwiązań informatycznych EUNB instytucje ujawniają informacje, o których mowa w art. 438 lit. h) rozporządzenia (UE) nr 575/2013, zgodnie z poniższymi instrukcjami zawartymi w niniejszym załączniku.</w:t>
      </w:r>
    </w:p>
    <w:p w14:paraId="5F6004F0" w14:textId="6839AF1F" w:rsidR="00F43911" w:rsidRPr="00396116"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396116">
        <w:rPr>
          <w:rFonts w:ascii="Times New Roman" w:hAnsi="Times New Roman"/>
          <w:color w:val="auto"/>
          <w:sz w:val="24"/>
        </w:rPr>
        <w:t xml:space="preserve">Instytucje stosujące IMM do obliczania kwot ekspozycji ważonych ryzykiem dla wszystkich swoich ekspozycji na ryzyko kredytowe kontrahenta lub dla części tych </w:t>
      </w:r>
      <w:r w:rsidRPr="00396116">
        <w:rPr>
          <w:rFonts w:ascii="Times New Roman" w:hAnsi="Times New Roman"/>
          <w:color w:val="auto"/>
          <w:sz w:val="24"/>
        </w:rPr>
        <w:lastRenderedPageBreak/>
        <w:t>ekspozycji zgodnie z częścią trzecią tytuł II rozdział 6 rozporządzenia (UE) nr 575/2013, niezależnie od podejścia do ryzyka kredytowego zastosowanego w celu ustalenia odpowiednich wag ryzyka, ujawniają rachunek przepływów wyjaśniający zmiany wysokości kwot ekspozycji ważonych ryzykiem dla instrumentów pochodnych i SFT wchodzących w zakres IMM zróżnicowanych na podstawie kluczowych czynników w oparciu o wiarygodne szacunki.</w:t>
      </w:r>
    </w:p>
    <w:p w14:paraId="01AA4F25" w14:textId="08472427" w:rsidR="00F43911" w:rsidRPr="00396116"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396116">
        <w:rPr>
          <w:rFonts w:ascii="Times New Roman" w:hAnsi="Times New Roman"/>
          <w:color w:val="auto"/>
          <w:sz w:val="24"/>
        </w:rPr>
        <w:t>Z obliczeń przeprowadzanych na potrzeby tego wzoru wyłączono kwoty ekspozycji ważonych ryzykiem w odniesieniu do ryzyka korekty wyceny kredytowej (część trzecia tytuł VI rozporządzenia (UE) nr 575/2013) oraz ekspozycje wobec kontrahenta centralnego (część trzecia tytuł II rozdział 6 sekcja 9 rozporządzenia (UE) nr 575/2013).</w:t>
      </w:r>
    </w:p>
    <w:p w14:paraId="7DAAFDC1" w14:textId="77777777" w:rsidR="00F43911" w:rsidRPr="00396116"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396116">
        <w:rPr>
          <w:rFonts w:ascii="Times New Roman" w:hAnsi="Times New Roman"/>
          <w:color w:val="auto"/>
          <w:sz w:val="24"/>
        </w:rPr>
        <w:t>Instytucje ujawniają przepływy kwot ekspozycji ważonych ryzykiem jako zmiany między kwotami ekspozycji ważonych ryzykiem na koniec okresu odniesienia do celów ujawniania informacji (jak określono poniżej w wierszu 9 niniejszego wzoru) a kwotami ekspozycji ważonych ryzykiem na koniec poprzedniego okresu odniesienia do celów ujawniania informacji (jak określono poniżej w wierszu 1 niniejszego wzoru; w przypadku informacji ujawnianych co kwartał – na koniec kwartału poprzedzającego kwartał będący okresem odniesienia do celów ujawniania informacji). Instytucje mogą uzupełnić ujawnione przez siebie informacje w ramach filaru III, ujawniając analogiczne informacje dotyczące trzech poprzedzających kwartałów.</w:t>
      </w:r>
    </w:p>
    <w:p w14:paraId="23D5C19D" w14:textId="77777777" w:rsidR="00F43911" w:rsidRPr="00396116" w:rsidRDefault="00F43911" w:rsidP="00F43911">
      <w:pPr>
        <w:pStyle w:val="Titlelevel2"/>
        <w:numPr>
          <w:ilvl w:val="0"/>
          <w:numId w:val="2"/>
        </w:numPr>
        <w:spacing w:before="0"/>
        <w:jc w:val="both"/>
        <w:rPr>
          <w:rFonts w:ascii="Times New Roman" w:hAnsi="Times New Roman"/>
          <w:color w:val="auto"/>
          <w:sz w:val="24"/>
        </w:rPr>
      </w:pPr>
      <w:r w:rsidRPr="00396116">
        <w:rPr>
          <w:rFonts w:ascii="Times New Roman" w:hAnsi="Times New Roman"/>
          <w:color w:val="auto"/>
          <w:sz w:val="24"/>
        </w:rPr>
        <w:t>W opisie dołączonym do niniejszego wzoru instytucje wyjaśniają dane liczbowe ujawnione w wierszu 8 niniejszego wzoru, tj. dane na temat wszelkich innych czynników wywierających istotny wpływ na zmiany kwoty ekspozycji ważonej ryzykiem.</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396116"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396116" w:rsidRDefault="00F43911" w:rsidP="004F3087">
            <w:pPr>
              <w:spacing w:after="240"/>
              <w:rPr>
                <w:rFonts w:ascii="Times New Roman" w:hAnsi="Times New Roman" w:cs="Times New Roman"/>
                <w:b/>
                <w:sz w:val="24"/>
              </w:rPr>
            </w:pPr>
            <w:r w:rsidRPr="00396116">
              <w:rPr>
                <w:rFonts w:ascii="Times New Roman" w:hAnsi="Times New Roman"/>
                <w:b/>
                <w:sz w:val="24"/>
              </w:rPr>
              <w:t>Odniesienia prawne i instrukcje</w:t>
            </w:r>
          </w:p>
        </w:tc>
      </w:tr>
      <w:tr w:rsidR="00F43911" w:rsidRPr="00396116" w14:paraId="3CBABF6D" w14:textId="77777777" w:rsidTr="004F3087">
        <w:trPr>
          <w:trHeight w:val="238"/>
        </w:trPr>
        <w:tc>
          <w:tcPr>
            <w:tcW w:w="1384" w:type="dxa"/>
            <w:shd w:val="clear" w:color="auto" w:fill="D9D9D9" w:themeFill="background1" w:themeFillShade="D9"/>
          </w:tcPr>
          <w:p w14:paraId="28B9FC05" w14:textId="63A717CD" w:rsidR="00F43911" w:rsidRPr="00396116" w:rsidRDefault="00365E5D" w:rsidP="004F3087">
            <w:pPr>
              <w:autoSpaceDE w:val="0"/>
              <w:autoSpaceDN w:val="0"/>
              <w:adjustRightInd w:val="0"/>
              <w:spacing w:after="240"/>
              <w:jc w:val="center"/>
              <w:rPr>
                <w:rFonts w:ascii="Times New Roman" w:hAnsi="Times New Roman" w:cs="Times New Roman"/>
                <w:b/>
                <w:sz w:val="24"/>
              </w:rPr>
            </w:pPr>
            <w:r w:rsidRPr="00396116">
              <w:rPr>
                <w:rFonts w:ascii="Times New Roman" w:hAnsi="Times New Roman"/>
                <w:b/>
                <w:sz w:val="24"/>
              </w:rPr>
              <w:t>Oznaczenie wiersza</w:t>
            </w:r>
          </w:p>
        </w:tc>
        <w:tc>
          <w:tcPr>
            <w:tcW w:w="7655" w:type="dxa"/>
            <w:shd w:val="clear" w:color="auto" w:fill="D9D9D9" w:themeFill="background1" w:themeFillShade="D9"/>
          </w:tcPr>
          <w:p w14:paraId="02060A03" w14:textId="77777777" w:rsidR="00F43911" w:rsidRPr="00396116" w:rsidRDefault="00F43911" w:rsidP="004F3087">
            <w:pPr>
              <w:autoSpaceDE w:val="0"/>
              <w:autoSpaceDN w:val="0"/>
              <w:adjustRightInd w:val="0"/>
              <w:spacing w:after="240"/>
              <w:rPr>
                <w:rFonts w:ascii="Times New Roman" w:hAnsi="Times New Roman" w:cs="Times New Roman"/>
                <w:color w:val="000000"/>
                <w:sz w:val="24"/>
              </w:rPr>
            </w:pPr>
            <w:r w:rsidRPr="00396116">
              <w:rPr>
                <w:rFonts w:ascii="Times New Roman" w:hAnsi="Times New Roman"/>
                <w:b/>
                <w:sz w:val="24"/>
              </w:rPr>
              <w:t>Wyjaśnienie</w:t>
            </w:r>
          </w:p>
        </w:tc>
      </w:tr>
      <w:tr w:rsidR="00F43911" w:rsidRPr="00396116"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396116" w:rsidRDefault="00F43911" w:rsidP="004F3087">
            <w:pPr>
              <w:pStyle w:val="Applicationdirecte"/>
              <w:spacing w:before="0" w:after="240"/>
              <w:jc w:val="center"/>
            </w:pPr>
            <w:r w:rsidRPr="00396116">
              <w:t>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396116" w:rsidRDefault="00F43911" w:rsidP="004F3087">
            <w:pPr>
              <w:spacing w:after="240"/>
              <w:jc w:val="both"/>
              <w:rPr>
                <w:rFonts w:ascii="Times New Roman" w:hAnsi="Times New Roman" w:cs="Times New Roman"/>
                <w:b/>
                <w:sz w:val="24"/>
              </w:rPr>
            </w:pPr>
            <w:r w:rsidRPr="00396116">
              <w:rPr>
                <w:rFonts w:ascii="Times New Roman" w:hAnsi="Times New Roman"/>
                <w:b/>
                <w:sz w:val="24"/>
              </w:rPr>
              <w:t>Kwoty ekspozycji ważonych ryzykiem na koniec poprzedniego okresu, za który informacje podlegają ujawnieniu</w:t>
            </w:r>
          </w:p>
          <w:p w14:paraId="7F1BADFD" w14:textId="77777777"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Kwoty ekspozycji ważonych ryzykiem dla ekspozycji na ryzyko kredytowe kontrahenta obliczanych zgodnie z IMM na koniec poprzedniego okresu, za który informacje podlegają ujawnieniu.</w:t>
            </w:r>
          </w:p>
        </w:tc>
      </w:tr>
      <w:tr w:rsidR="00F43911" w:rsidRPr="00396116"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396116" w:rsidRDefault="00F43911" w:rsidP="004F3087">
            <w:pPr>
              <w:pStyle w:val="Applicationdirecte"/>
              <w:spacing w:before="0" w:after="240"/>
              <w:jc w:val="center"/>
            </w:pPr>
            <w:r w:rsidRPr="00396116">
              <w:t>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396116" w:rsidRDefault="00F43911" w:rsidP="004F3087">
            <w:pPr>
              <w:spacing w:after="240"/>
              <w:jc w:val="both"/>
              <w:rPr>
                <w:rFonts w:ascii="Times New Roman" w:hAnsi="Times New Roman" w:cs="Times New Roman"/>
                <w:b/>
                <w:sz w:val="24"/>
              </w:rPr>
            </w:pPr>
            <w:r w:rsidRPr="00396116">
              <w:rPr>
                <w:rFonts w:ascii="Times New Roman" w:hAnsi="Times New Roman"/>
                <w:b/>
                <w:sz w:val="24"/>
              </w:rPr>
              <w:t>Wielkość aktywów</w:t>
            </w:r>
          </w:p>
          <w:p w14:paraId="07D133F6" w14:textId="77777777"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Zmiany wysokości kwoty ekspozycji ważonej ryzykiem (o wartości dodatniej lub ujemnej) spowodowane organicznymi zmianami wielkości i składu portfela (m.in. wskutek powstawania nowych przedsiębiorstw i upływu terminów zapadalności ekspozycji), z wyłączeniem zmian wielkości portfela wynikających z przejęć i zbyć podmiotów</w:t>
            </w:r>
          </w:p>
        </w:tc>
      </w:tr>
      <w:tr w:rsidR="00F43911" w:rsidRPr="00396116"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396116" w:rsidRDefault="00F43911" w:rsidP="004F3087">
            <w:pPr>
              <w:pStyle w:val="Applicationdirecte"/>
              <w:spacing w:before="0" w:after="240"/>
              <w:jc w:val="center"/>
            </w:pPr>
            <w:r w:rsidRPr="00396116">
              <w:t>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396116" w:rsidRDefault="00F43911" w:rsidP="004F3087">
            <w:pPr>
              <w:spacing w:after="240"/>
              <w:jc w:val="both"/>
              <w:rPr>
                <w:rFonts w:ascii="Times New Roman" w:hAnsi="Times New Roman" w:cs="Times New Roman"/>
                <w:b/>
                <w:sz w:val="24"/>
              </w:rPr>
            </w:pPr>
            <w:r w:rsidRPr="00396116">
              <w:rPr>
                <w:rFonts w:ascii="Times New Roman" w:hAnsi="Times New Roman"/>
                <w:b/>
                <w:sz w:val="24"/>
              </w:rPr>
              <w:t>Jakość kredytowa kontrahentów</w:t>
            </w:r>
          </w:p>
          <w:p w14:paraId="70A7587F" w14:textId="77777777"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 xml:space="preserve">Zmiany wysokości kwoty ekspozycji ważonej ryzykiem (o wartości dodatniej lub ujemnej) spowodowane zmianami oceny jakości kredytowej </w:t>
            </w:r>
            <w:r w:rsidRPr="00396116">
              <w:rPr>
                <w:rFonts w:ascii="Times New Roman" w:hAnsi="Times New Roman"/>
                <w:sz w:val="24"/>
              </w:rPr>
              <w:lastRenderedPageBreak/>
              <w:t>kontrahentów instytucji mierzonymi zgodnie z ramami ryzyka kredytowego, niezależnie od podejścia stosowanego przez instytucję</w:t>
            </w:r>
          </w:p>
          <w:p w14:paraId="5EFAE896" w14:textId="77777777"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W tym wierszu zamieszcza się informacje o potencjalnych zmianach kwoty ekspozycji ważonej ryzykiem wynikających ze stosowania modeli IRB, jeżeli instytucja stosuje metodę IRB.</w:t>
            </w:r>
          </w:p>
        </w:tc>
      </w:tr>
      <w:tr w:rsidR="00F43911" w:rsidRPr="00396116"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396116" w:rsidRDefault="00F43911" w:rsidP="004F3087">
            <w:pPr>
              <w:pStyle w:val="Applicationdirecte"/>
              <w:spacing w:before="0" w:after="240"/>
              <w:jc w:val="center"/>
            </w:pPr>
            <w:r w:rsidRPr="00396116">
              <w:lastRenderedPageBreak/>
              <w:t>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396116" w:rsidRDefault="00F43911" w:rsidP="004F3087">
            <w:pPr>
              <w:spacing w:after="240"/>
              <w:jc w:val="both"/>
              <w:rPr>
                <w:rFonts w:ascii="Times New Roman" w:hAnsi="Times New Roman" w:cs="Times New Roman"/>
                <w:b/>
                <w:sz w:val="24"/>
              </w:rPr>
            </w:pPr>
            <w:r w:rsidRPr="00396116">
              <w:rPr>
                <w:rFonts w:ascii="Times New Roman" w:hAnsi="Times New Roman"/>
                <w:b/>
                <w:sz w:val="24"/>
              </w:rPr>
              <w:t>Aktualizacje modeli (wyłącznie metoda modeli wewnętrznych)</w:t>
            </w:r>
          </w:p>
          <w:p w14:paraId="58308728" w14:textId="77777777"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Zmiany wysokości kwoty ekspozycji ważonej ryzykiem (o wartości dodatniej lub ujemnej) spowodowane wdrożeniem modelu, zmianami w zakresie modelu lub wszelkimi zmianami służącymi wyeliminowaniu słabych punktów modelu</w:t>
            </w:r>
          </w:p>
          <w:p w14:paraId="58BDFEF1" w14:textId="77777777"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Wiersz ten musi odzwierciedlać wyłącznie zmiany IMM.</w:t>
            </w:r>
          </w:p>
        </w:tc>
      </w:tr>
      <w:tr w:rsidR="00F43911" w:rsidRPr="00396116"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396116" w:rsidRDefault="00F43911" w:rsidP="004F3087">
            <w:pPr>
              <w:pStyle w:val="Applicationdirecte"/>
              <w:spacing w:before="0" w:after="240"/>
              <w:jc w:val="center"/>
            </w:pPr>
            <w:r w:rsidRPr="00396116">
              <w:t>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396116" w:rsidRDefault="00F43911" w:rsidP="004F3087">
            <w:pPr>
              <w:spacing w:after="240"/>
              <w:jc w:val="both"/>
              <w:rPr>
                <w:rFonts w:ascii="Times New Roman" w:hAnsi="Times New Roman" w:cs="Times New Roman"/>
                <w:b/>
                <w:sz w:val="24"/>
              </w:rPr>
            </w:pPr>
            <w:r w:rsidRPr="00396116">
              <w:rPr>
                <w:rFonts w:ascii="Times New Roman" w:hAnsi="Times New Roman"/>
                <w:b/>
                <w:sz w:val="24"/>
              </w:rPr>
              <w:t>Metodyka i polityka (wyłącznie metoda modeli wewnętrznych)</w:t>
            </w:r>
          </w:p>
          <w:p w14:paraId="046BC00D" w14:textId="77777777"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Zmiany wysokości kwoty ekspozycji ważonej ryzykiem (o wartości dodatniej lub ujemnej) spowodowane zmianami metody dokonywania obliczeń w wyniku zmian polityki regulacyjnej, np. wskutek przyjęcia nowych przepisów (wyłącznie w odniesieniu do IMM)</w:t>
            </w:r>
          </w:p>
        </w:tc>
      </w:tr>
      <w:tr w:rsidR="00F43911" w:rsidRPr="00396116"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396116" w:rsidRDefault="00F43911" w:rsidP="004F3087">
            <w:pPr>
              <w:pStyle w:val="Applicationdirecte"/>
              <w:spacing w:before="0" w:after="240"/>
              <w:jc w:val="center"/>
            </w:pPr>
            <w:r w:rsidRPr="00396116">
              <w:t>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396116" w:rsidRDefault="00F43911" w:rsidP="004F3087">
            <w:pPr>
              <w:spacing w:after="240"/>
              <w:jc w:val="both"/>
              <w:rPr>
                <w:rFonts w:ascii="Times New Roman" w:hAnsi="Times New Roman" w:cs="Times New Roman"/>
                <w:b/>
                <w:sz w:val="24"/>
              </w:rPr>
            </w:pPr>
            <w:r w:rsidRPr="00396116">
              <w:rPr>
                <w:rFonts w:ascii="Times New Roman" w:hAnsi="Times New Roman"/>
                <w:b/>
                <w:sz w:val="24"/>
              </w:rPr>
              <w:t>Nabycia i zbycia</w:t>
            </w:r>
          </w:p>
          <w:p w14:paraId="07E040C6" w14:textId="77777777"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Zmiany wysokości kwoty ekspozycji ważonej ryzykiem (o wartości dodatniej lub ujemnej) wywołane organicznymi zmianami wielkości portfela spowodowanymi przejęciami i zbyciami podmiotów</w:t>
            </w:r>
          </w:p>
        </w:tc>
      </w:tr>
      <w:tr w:rsidR="00F43911" w:rsidRPr="00396116"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396116" w:rsidRDefault="00F43911" w:rsidP="004F3087">
            <w:pPr>
              <w:pStyle w:val="Applicationdirecte"/>
              <w:spacing w:before="0" w:after="240"/>
              <w:jc w:val="center"/>
            </w:pPr>
            <w:r w:rsidRPr="00396116">
              <w:t>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396116" w:rsidRDefault="00F43911" w:rsidP="004F3087">
            <w:pPr>
              <w:spacing w:after="240"/>
              <w:jc w:val="both"/>
              <w:rPr>
                <w:rFonts w:ascii="Times New Roman" w:hAnsi="Times New Roman" w:cs="Times New Roman"/>
                <w:b/>
                <w:sz w:val="24"/>
              </w:rPr>
            </w:pPr>
            <w:r w:rsidRPr="00396116">
              <w:rPr>
                <w:rFonts w:ascii="Times New Roman" w:hAnsi="Times New Roman"/>
                <w:b/>
                <w:sz w:val="24"/>
              </w:rPr>
              <w:t>Wahania kursów walutowych</w:t>
            </w:r>
          </w:p>
          <w:p w14:paraId="2A243848" w14:textId="77777777"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Zmiany wysokości kwoty ekspozycji ważonej ryzykiem (o wartości dodatniej lub ujemnej) spowodowane zmianami wynikającymi z wahań związanych z przeliczaniem waluty obcej</w:t>
            </w:r>
          </w:p>
        </w:tc>
      </w:tr>
      <w:tr w:rsidR="00F43911" w:rsidRPr="00396116"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396116" w:rsidRDefault="00F43911" w:rsidP="004F3087">
            <w:pPr>
              <w:pStyle w:val="Applicationdirecte"/>
              <w:spacing w:before="0" w:after="240"/>
              <w:jc w:val="center"/>
            </w:pPr>
            <w:r w:rsidRPr="00396116">
              <w:t>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396116" w:rsidRDefault="00F43911" w:rsidP="004F3087">
            <w:pPr>
              <w:spacing w:after="240"/>
              <w:jc w:val="both"/>
              <w:rPr>
                <w:rFonts w:ascii="Times New Roman" w:hAnsi="Times New Roman" w:cs="Times New Roman"/>
                <w:b/>
                <w:sz w:val="24"/>
              </w:rPr>
            </w:pPr>
            <w:r w:rsidRPr="00396116">
              <w:rPr>
                <w:rFonts w:ascii="Times New Roman" w:hAnsi="Times New Roman"/>
                <w:b/>
                <w:sz w:val="24"/>
              </w:rPr>
              <w:t>Inne</w:t>
            </w:r>
          </w:p>
          <w:p w14:paraId="58936611" w14:textId="77777777" w:rsidR="00F43911" w:rsidRPr="00396116" w:rsidRDefault="00F43911" w:rsidP="004F3087">
            <w:pPr>
              <w:spacing w:after="240"/>
              <w:jc w:val="both"/>
              <w:rPr>
                <w:rFonts w:ascii="Times New Roman" w:hAnsi="Times New Roman" w:cs="Times New Roman"/>
                <w:sz w:val="24"/>
              </w:rPr>
            </w:pPr>
            <w:r w:rsidRPr="00396116">
              <w:rPr>
                <w:rFonts w:ascii="Times New Roman" w:hAnsi="Times New Roman"/>
                <w:sz w:val="24"/>
              </w:rPr>
              <w:t>Tę kategorię wykorzystuje się do ujmowania zmian wysokości kwoty ekspozycji ważonej ryzykiem (o wartości dodatniej lub ujemnej), których nie można przypisać do żadnej z powyższych kategorii Instytucje uwzględniają sumę tego rodzaju zmian wysokości kwoty ekspozycji ważonej ryzykiem w tym wierszu. W opisie dołączonym do niniejszego wzoru instytucje przedstawiają dodatkowe informacje na temat wszelkich innych istotnych czynników wywierających wpływ na zmiany wysokości kwot ważonych ryzykiem w okresie, za który informacje podlegają ujawnieniu.</w:t>
            </w:r>
          </w:p>
        </w:tc>
      </w:tr>
      <w:tr w:rsidR="00F43911" w:rsidRPr="00396116"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396116" w:rsidRDefault="00F43911" w:rsidP="004F3087">
            <w:pPr>
              <w:pStyle w:val="Applicationdirecte"/>
              <w:spacing w:before="0" w:after="240"/>
              <w:jc w:val="center"/>
            </w:pPr>
            <w:r w:rsidRPr="00396116">
              <w:t>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396116" w:rsidRDefault="00F43911" w:rsidP="004F3087">
            <w:pPr>
              <w:spacing w:after="240"/>
              <w:jc w:val="both"/>
              <w:rPr>
                <w:rFonts w:ascii="Times New Roman" w:hAnsi="Times New Roman" w:cs="Times New Roman"/>
                <w:b/>
                <w:sz w:val="24"/>
              </w:rPr>
            </w:pPr>
            <w:r w:rsidRPr="00396116">
              <w:rPr>
                <w:rFonts w:ascii="Times New Roman" w:hAnsi="Times New Roman"/>
                <w:b/>
                <w:sz w:val="24"/>
              </w:rPr>
              <w:t>Kwoty ekspozycji ważonych ryzykiem na koniec bieżącego okresu, za który informacje podlegają ujawnieniu</w:t>
            </w:r>
          </w:p>
          <w:p w14:paraId="1EF927DE" w14:textId="77777777" w:rsidR="00F43911" w:rsidRPr="00396116" w:rsidRDefault="00F43911" w:rsidP="004F3087">
            <w:pPr>
              <w:spacing w:after="240"/>
              <w:jc w:val="both"/>
              <w:rPr>
                <w:rFonts w:ascii="Times New Roman" w:hAnsi="Times New Roman" w:cs="Times New Roman"/>
                <w:i/>
                <w:sz w:val="24"/>
              </w:rPr>
            </w:pPr>
            <w:r w:rsidRPr="00396116">
              <w:rPr>
                <w:rFonts w:ascii="Times New Roman" w:hAnsi="Times New Roman"/>
                <w:sz w:val="24"/>
              </w:rPr>
              <w:lastRenderedPageBreak/>
              <w:t>Kwoty ekspozycji ważonych ryzykiem dla ekspozycji na ryzyko kredytowe kontrahenta obliczanych zgodnie z IMM na koniec bieżącego okresu, za który informacje podlegają ujawnieniu.</w:t>
            </w:r>
          </w:p>
        </w:tc>
      </w:tr>
      <w:tr w:rsidR="00F43911" w:rsidRPr="00396116"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396116" w:rsidRDefault="00F43911" w:rsidP="004F3087">
            <w:pPr>
              <w:pStyle w:val="Applicationdirecte"/>
              <w:spacing w:before="0" w:after="240"/>
              <w:jc w:val="center"/>
              <w:rPr>
                <w:b/>
              </w:rPr>
            </w:pPr>
            <w:r w:rsidRPr="00396116">
              <w:rPr>
                <w:b/>
              </w:rPr>
              <w:lastRenderedPageBreak/>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396116" w:rsidRDefault="00F43911" w:rsidP="004F3087">
            <w:pPr>
              <w:spacing w:after="240"/>
              <w:jc w:val="both"/>
              <w:rPr>
                <w:rFonts w:ascii="Times New Roman" w:hAnsi="Times New Roman" w:cs="Times New Roman"/>
                <w:b/>
                <w:sz w:val="24"/>
              </w:rPr>
            </w:pPr>
            <w:r w:rsidRPr="00396116">
              <w:rPr>
                <w:rFonts w:ascii="Times New Roman" w:hAnsi="Times New Roman"/>
                <w:b/>
                <w:sz w:val="24"/>
              </w:rPr>
              <w:t>Wyjaśnienie</w:t>
            </w:r>
          </w:p>
        </w:tc>
      </w:tr>
      <w:tr w:rsidR="00F43911" w:rsidRPr="00396116"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396116" w:rsidRDefault="00F43911" w:rsidP="004F3087">
            <w:pPr>
              <w:pStyle w:val="Applicationdirecte"/>
              <w:spacing w:before="0" w:after="240"/>
              <w:jc w:val="center"/>
            </w:pPr>
            <w:r w:rsidRPr="00396116">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396116" w:rsidRDefault="00F43911" w:rsidP="004F3087">
            <w:pPr>
              <w:spacing w:after="240"/>
              <w:jc w:val="both"/>
              <w:rPr>
                <w:rFonts w:ascii="Times New Roman" w:hAnsi="Times New Roman" w:cs="Times New Roman"/>
                <w:b/>
                <w:sz w:val="24"/>
              </w:rPr>
            </w:pPr>
            <w:r w:rsidRPr="00396116">
              <w:rPr>
                <w:rFonts w:ascii="Times New Roman" w:hAnsi="Times New Roman"/>
                <w:b/>
                <w:sz w:val="24"/>
              </w:rPr>
              <w:t>Kwoty ekspozycji ważonej ryzykiem</w:t>
            </w:r>
          </w:p>
        </w:tc>
      </w:tr>
    </w:tbl>
    <w:p w14:paraId="2D6E78B2" w14:textId="77777777" w:rsidR="00F43911" w:rsidRPr="00396116" w:rsidRDefault="00F43911" w:rsidP="00F43911">
      <w:pPr>
        <w:pStyle w:val="Titlelevel2"/>
        <w:spacing w:before="0"/>
        <w:rPr>
          <w:rFonts w:ascii="Times New Roman" w:hAnsi="Times New Roman" w:cs="Times New Roman"/>
          <w:b/>
          <w:color w:val="auto"/>
          <w:sz w:val="24"/>
        </w:rPr>
      </w:pPr>
    </w:p>
    <w:p w14:paraId="02190422" w14:textId="77777777" w:rsidR="00F43911" w:rsidRPr="00396116" w:rsidRDefault="00F43911" w:rsidP="00F43911">
      <w:pPr>
        <w:pStyle w:val="Titlelevel2"/>
        <w:spacing w:before="0"/>
        <w:rPr>
          <w:rFonts w:ascii="Times New Roman" w:hAnsi="Times New Roman" w:cs="Times New Roman"/>
          <w:b/>
          <w:color w:val="auto"/>
          <w:sz w:val="24"/>
        </w:rPr>
      </w:pPr>
      <w:r w:rsidRPr="00396116">
        <w:rPr>
          <w:rFonts w:ascii="Times New Roman" w:hAnsi="Times New Roman"/>
          <w:b/>
          <w:color w:val="auto"/>
          <w:sz w:val="24"/>
        </w:rPr>
        <w:t xml:space="preserve">Wzór EU CCR8 – Ekspozycje wobec kontrahentów centralnych. </w:t>
      </w:r>
      <w:r w:rsidRPr="00396116">
        <w:rPr>
          <w:rFonts w:ascii="Times New Roman" w:hAnsi="Times New Roman"/>
          <w:color w:val="auto"/>
          <w:sz w:val="24"/>
        </w:rPr>
        <w:t>Format stały</w:t>
      </w:r>
      <w:r w:rsidRPr="00396116">
        <w:rPr>
          <w:rFonts w:ascii="Times New Roman" w:hAnsi="Times New Roman"/>
          <w:b/>
          <w:color w:val="auto"/>
          <w:sz w:val="24"/>
        </w:rPr>
        <w:t xml:space="preserve"> </w:t>
      </w:r>
    </w:p>
    <w:p w14:paraId="14C03A10" w14:textId="4291866F" w:rsidR="00F43911" w:rsidRPr="00396116"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sidRPr="00396116">
        <w:rPr>
          <w:rFonts w:ascii="Times New Roman" w:hAnsi="Times New Roman"/>
          <w:color w:val="000000"/>
          <w:sz w:val="24"/>
        </w:rPr>
        <w:t>W celu wypełnienia wzoru EU CCR8 zamieszczonego w załączniku XXV do rozwiązań informatycznych EUNB instytucje ujawniają informacje, o których mowa w art. 439 lit. i) rozporządzenia (UE) nr 575/2013, zgodnie z poniższymi instrukcjami zawartymi w niniejszym załączniku.</w:t>
      </w:r>
    </w:p>
    <w:p w14:paraId="2D8023A6" w14:textId="13DE5A1F" w:rsidR="00F43911" w:rsidRPr="00396116" w:rsidRDefault="00F43911" w:rsidP="00F43911">
      <w:pPr>
        <w:pStyle w:val="Titlelevel2"/>
        <w:numPr>
          <w:ilvl w:val="0"/>
          <w:numId w:val="2"/>
        </w:numPr>
        <w:spacing w:before="0"/>
        <w:jc w:val="both"/>
        <w:rPr>
          <w:rFonts w:ascii="Times New Roman" w:hAnsi="Times New Roman"/>
          <w:b/>
          <w:color w:val="auto"/>
          <w:sz w:val="24"/>
        </w:rPr>
      </w:pPr>
      <w:r w:rsidRPr="00396116">
        <w:rPr>
          <w:rFonts w:ascii="Times New Roman" w:hAnsi="Times New Roman"/>
          <w:color w:val="000000"/>
          <w:sz w:val="24"/>
        </w:rPr>
        <w:t xml:space="preserve">Ekspozycje wobec kontrahentów centralnych: umowy i transakcje wymienione w art. 301 ust. 1 rozporządzenia (UE) nr 575/2013 przez cały okres, gdy pozostają one nierozliczone z kontrahentem centralnym, uwzględniając ekspozycje wobec transakcji związanych z kontrahentami centralnymi zgodnie z art. 300 pkt 2 rozporządzenia (UE) nr 575/2013, w przypadku których wymogi w zakresie funduszy własnych oblicza się zgodnie z częścią trzecią tytuł II rozdział 6 sekcja 9 rozporządzenia (UE) nr 575/2013.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396116"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396116" w:rsidRDefault="00F43911" w:rsidP="004F3087">
            <w:pPr>
              <w:spacing w:after="240"/>
              <w:rPr>
                <w:rFonts w:ascii="Times New Roman" w:hAnsi="Times New Roman" w:cs="Times New Roman"/>
                <w:b/>
                <w:sz w:val="24"/>
              </w:rPr>
            </w:pPr>
            <w:r w:rsidRPr="00396116">
              <w:rPr>
                <w:rFonts w:ascii="Times New Roman" w:hAnsi="Times New Roman"/>
                <w:b/>
                <w:sz w:val="24"/>
              </w:rPr>
              <w:t>Odniesienia prawne i instrukcje</w:t>
            </w:r>
          </w:p>
        </w:tc>
      </w:tr>
      <w:tr w:rsidR="00F43911" w:rsidRPr="00396116" w14:paraId="6D3E09E0" w14:textId="77777777" w:rsidTr="004F3087">
        <w:trPr>
          <w:trHeight w:val="238"/>
        </w:trPr>
        <w:tc>
          <w:tcPr>
            <w:tcW w:w="1384" w:type="dxa"/>
            <w:shd w:val="clear" w:color="auto" w:fill="D9D9D9" w:themeFill="background1" w:themeFillShade="D9"/>
          </w:tcPr>
          <w:p w14:paraId="6F86EBCB" w14:textId="37150D18" w:rsidR="00F43911" w:rsidRPr="00396116" w:rsidRDefault="00365E5D" w:rsidP="004F3087">
            <w:pPr>
              <w:autoSpaceDE w:val="0"/>
              <w:autoSpaceDN w:val="0"/>
              <w:adjustRightInd w:val="0"/>
              <w:spacing w:after="240"/>
              <w:rPr>
                <w:rFonts w:ascii="Times New Roman" w:hAnsi="Times New Roman" w:cs="Times New Roman"/>
                <w:b/>
                <w:sz w:val="24"/>
              </w:rPr>
            </w:pPr>
            <w:r w:rsidRPr="00396116">
              <w:rPr>
                <w:rFonts w:ascii="Times New Roman" w:hAnsi="Times New Roman"/>
                <w:b/>
                <w:sz w:val="24"/>
              </w:rPr>
              <w:t>Oznaczenie wiersza</w:t>
            </w:r>
          </w:p>
        </w:tc>
        <w:tc>
          <w:tcPr>
            <w:tcW w:w="7655" w:type="dxa"/>
            <w:shd w:val="clear" w:color="auto" w:fill="D9D9D9" w:themeFill="background1" w:themeFillShade="D9"/>
          </w:tcPr>
          <w:p w14:paraId="2610CABA" w14:textId="77777777" w:rsidR="00F43911" w:rsidRPr="00396116" w:rsidRDefault="00F43911" w:rsidP="004F3087">
            <w:pPr>
              <w:autoSpaceDE w:val="0"/>
              <w:autoSpaceDN w:val="0"/>
              <w:adjustRightInd w:val="0"/>
              <w:spacing w:after="240"/>
              <w:rPr>
                <w:rFonts w:ascii="Times New Roman" w:hAnsi="Times New Roman" w:cs="Times New Roman"/>
                <w:color w:val="000000"/>
                <w:sz w:val="24"/>
              </w:rPr>
            </w:pPr>
            <w:r w:rsidRPr="00396116">
              <w:rPr>
                <w:rFonts w:ascii="Times New Roman" w:hAnsi="Times New Roman"/>
                <w:b/>
                <w:sz w:val="24"/>
              </w:rPr>
              <w:t>Wyjaśnienie</w:t>
            </w:r>
          </w:p>
        </w:tc>
      </w:tr>
      <w:tr w:rsidR="00F43911" w:rsidRPr="00396116" w14:paraId="37AB1FB7" w14:textId="77777777" w:rsidTr="004F3087">
        <w:trPr>
          <w:trHeight w:val="680"/>
        </w:trPr>
        <w:tc>
          <w:tcPr>
            <w:tcW w:w="1384" w:type="dxa"/>
          </w:tcPr>
          <w:p w14:paraId="000DBB15" w14:textId="09B583CC" w:rsidR="00F43911" w:rsidRPr="00396116" w:rsidRDefault="00F43911" w:rsidP="004F3087">
            <w:pPr>
              <w:pStyle w:val="Applicationdirecte"/>
              <w:spacing w:before="0" w:after="240"/>
              <w:jc w:val="center"/>
            </w:pPr>
            <w:r w:rsidRPr="00396116">
              <w:t>1</w:t>
            </w:r>
            <w:r w:rsidR="002149B1" w:rsidRPr="00396116">
              <w:t>–</w:t>
            </w:r>
            <w:r w:rsidRPr="00396116">
              <w:t>10</w:t>
            </w:r>
          </w:p>
        </w:tc>
        <w:tc>
          <w:tcPr>
            <w:tcW w:w="7655" w:type="dxa"/>
            <w:vAlign w:val="center"/>
          </w:tcPr>
          <w:p w14:paraId="29CECCE7" w14:textId="77777777" w:rsidR="00F43911" w:rsidRPr="00396116" w:rsidRDefault="00F43911" w:rsidP="004F3087">
            <w:pPr>
              <w:keepNext/>
              <w:spacing w:after="240"/>
              <w:jc w:val="both"/>
              <w:rPr>
                <w:rFonts w:ascii="Times New Roman" w:eastAsia="Times New Roman" w:hAnsi="Times New Roman" w:cs="Times New Roman"/>
                <w:b/>
                <w:sz w:val="24"/>
              </w:rPr>
            </w:pPr>
            <w:r w:rsidRPr="00396116">
              <w:rPr>
                <w:rFonts w:ascii="Times New Roman" w:hAnsi="Times New Roman"/>
                <w:b/>
                <w:sz w:val="24"/>
              </w:rPr>
              <w:t>Kwalifikujący się kontrahent centralny (kwalifikujący się CCP)</w:t>
            </w:r>
          </w:p>
          <w:p w14:paraId="7D977D34" w14:textId="54340F62" w:rsidR="00F43911" w:rsidRPr="00396116" w:rsidRDefault="00F43911" w:rsidP="004F3087">
            <w:pPr>
              <w:keepNext/>
              <w:spacing w:after="240"/>
              <w:jc w:val="both"/>
              <w:rPr>
                <w:rFonts w:ascii="Times New Roman" w:eastAsia="Times New Roman" w:hAnsi="Times New Roman" w:cs="Times New Roman"/>
                <w:sz w:val="24"/>
              </w:rPr>
            </w:pPr>
            <w:r w:rsidRPr="00396116">
              <w:rPr>
                <w:rFonts w:ascii="Times New Roman" w:hAnsi="Times New Roman"/>
                <w:sz w:val="24"/>
              </w:rPr>
              <w:t>Kwalifikujący się kontrahent centralny lub „kwalifikujący się CCP” zdefiniowany w art. 4 ust. 1 pkt 88 rozporządzenia (UE) nr 575/2013.</w:t>
            </w:r>
          </w:p>
        </w:tc>
      </w:tr>
      <w:tr w:rsidR="00F43911" w:rsidRPr="00396116" w14:paraId="68B0B77B" w14:textId="77777777" w:rsidTr="004F3087">
        <w:trPr>
          <w:trHeight w:val="680"/>
        </w:trPr>
        <w:tc>
          <w:tcPr>
            <w:tcW w:w="1384" w:type="dxa"/>
          </w:tcPr>
          <w:p w14:paraId="3AEC71A5" w14:textId="77777777" w:rsidR="00F43911" w:rsidRPr="00396116" w:rsidRDefault="00F43911" w:rsidP="004F3087">
            <w:pPr>
              <w:pStyle w:val="Applicationdirecte"/>
              <w:spacing w:before="0" w:after="240"/>
              <w:jc w:val="center"/>
            </w:pPr>
            <w:r w:rsidRPr="00396116">
              <w:t>7 i 8</w:t>
            </w:r>
          </w:p>
          <w:p w14:paraId="1BD08955" w14:textId="77777777" w:rsidR="00F43911" w:rsidRPr="00396116" w:rsidRDefault="00F43911" w:rsidP="004F3087">
            <w:pPr>
              <w:pStyle w:val="Fait"/>
              <w:spacing w:before="0" w:after="240"/>
              <w:jc w:val="center"/>
            </w:pPr>
            <w:r w:rsidRPr="00396116">
              <w:t>17 i 18</w:t>
            </w:r>
          </w:p>
        </w:tc>
        <w:tc>
          <w:tcPr>
            <w:tcW w:w="7655" w:type="dxa"/>
            <w:vAlign w:val="center"/>
          </w:tcPr>
          <w:p w14:paraId="2A3132CF" w14:textId="77777777" w:rsidR="00F43911" w:rsidRPr="00396116" w:rsidRDefault="00F43911" w:rsidP="004F3087">
            <w:pPr>
              <w:keepNext/>
              <w:spacing w:after="240"/>
              <w:jc w:val="both"/>
              <w:rPr>
                <w:rFonts w:ascii="Times New Roman" w:eastAsia="Times New Roman" w:hAnsi="Times New Roman" w:cs="Times New Roman"/>
                <w:b/>
                <w:bCs/>
                <w:sz w:val="24"/>
              </w:rPr>
            </w:pPr>
            <w:r w:rsidRPr="00396116">
              <w:rPr>
                <w:rFonts w:ascii="Times New Roman" w:hAnsi="Times New Roman"/>
                <w:b/>
                <w:sz w:val="24"/>
              </w:rPr>
              <w:t>Początkowy depozyt zabezpieczający</w:t>
            </w:r>
          </w:p>
          <w:p w14:paraId="3C76FA21" w14:textId="6C3EFE50" w:rsidR="00F43911" w:rsidRPr="00396116" w:rsidRDefault="00F43911" w:rsidP="004F3087">
            <w:pPr>
              <w:keepNext/>
              <w:spacing w:after="240"/>
              <w:jc w:val="both"/>
              <w:rPr>
                <w:rFonts w:ascii="Times New Roman" w:eastAsia="Times New Roman" w:hAnsi="Times New Roman" w:cs="Times New Roman"/>
                <w:sz w:val="24"/>
              </w:rPr>
            </w:pPr>
            <w:r w:rsidRPr="00396116">
              <w:rPr>
                <w:rFonts w:ascii="Times New Roman" w:hAnsi="Times New Roman"/>
                <w:sz w:val="24"/>
              </w:rPr>
              <w:t>Instytucje ujawniają wartości godziwe zabezpieczenia otrzymanego lub udzielonego w postaci początkowego depozytu zabezpieczającego zgodnie z definicją zawartą w art. 4 ust. 1 pkt 140 rozporządzenia (UE) nr 575/2013.</w:t>
            </w:r>
          </w:p>
          <w:p w14:paraId="3B66900B" w14:textId="77777777" w:rsidR="00F43911" w:rsidRPr="00396116" w:rsidRDefault="00F43911" w:rsidP="004F3087">
            <w:pPr>
              <w:keepNext/>
              <w:spacing w:after="240"/>
              <w:jc w:val="both"/>
              <w:rPr>
                <w:rFonts w:ascii="Times New Roman" w:eastAsia="Times New Roman" w:hAnsi="Times New Roman" w:cs="Times New Roman"/>
                <w:i/>
                <w:sz w:val="24"/>
              </w:rPr>
            </w:pPr>
            <w:r w:rsidRPr="00396116">
              <w:rPr>
                <w:rFonts w:ascii="Times New Roman" w:hAnsi="Times New Roman"/>
                <w:sz w:val="24"/>
              </w:rPr>
              <w:t xml:space="preserve">Do celów niniejszego wzoru początkowy depozyt zabezpieczający nie obejmuje wkładów na rzecz kontrahenta centralnego wnoszonych na potrzeby uwspólnionych uzgodnień dotyczących podziału strat (tj. w przypadkach, gdy kontrahent centralny wykorzystuje początkowy depozyt zabezpieczający do uwspólniania strat między uczestnikami rozliczającym, taki wkład będzie traktowany jako ekspozycja wobec funduszu na wypadek niewykonania zobowiązania). </w:t>
            </w:r>
          </w:p>
        </w:tc>
      </w:tr>
      <w:tr w:rsidR="00F43911" w:rsidRPr="00396116" w14:paraId="514E9587" w14:textId="77777777" w:rsidTr="004F3087">
        <w:trPr>
          <w:trHeight w:val="680"/>
        </w:trPr>
        <w:tc>
          <w:tcPr>
            <w:tcW w:w="1384" w:type="dxa"/>
          </w:tcPr>
          <w:p w14:paraId="5E7BE072" w14:textId="77777777" w:rsidR="00F43911" w:rsidRPr="00396116" w:rsidRDefault="00F43911" w:rsidP="004F3087">
            <w:pPr>
              <w:pStyle w:val="Applicationdirecte"/>
              <w:spacing w:before="0" w:after="240"/>
              <w:jc w:val="center"/>
            </w:pPr>
            <w:r w:rsidRPr="00396116">
              <w:lastRenderedPageBreak/>
              <w:t>9 i 19</w:t>
            </w:r>
          </w:p>
        </w:tc>
        <w:tc>
          <w:tcPr>
            <w:tcW w:w="7655" w:type="dxa"/>
            <w:vAlign w:val="center"/>
          </w:tcPr>
          <w:p w14:paraId="515E4B6E" w14:textId="77777777" w:rsidR="00F43911" w:rsidRPr="00396116" w:rsidRDefault="00F43911" w:rsidP="004F3087">
            <w:pPr>
              <w:keepNext/>
              <w:spacing w:after="240"/>
              <w:jc w:val="both"/>
              <w:rPr>
                <w:rFonts w:ascii="Times New Roman" w:eastAsia="Times New Roman" w:hAnsi="Times New Roman" w:cs="Times New Roman"/>
                <w:b/>
                <w:sz w:val="24"/>
              </w:rPr>
            </w:pPr>
            <w:r w:rsidRPr="00396116">
              <w:rPr>
                <w:rFonts w:ascii="Times New Roman" w:hAnsi="Times New Roman"/>
                <w:b/>
                <w:sz w:val="24"/>
              </w:rPr>
              <w:t>Wniesione z góry wkłady do funduszu na wypadek niewykonania zobowiązania</w:t>
            </w:r>
          </w:p>
          <w:p w14:paraId="2980A8E2" w14:textId="77777777" w:rsidR="00F43911" w:rsidRPr="00396116" w:rsidRDefault="00F43911" w:rsidP="004F3087">
            <w:pPr>
              <w:keepNext/>
              <w:spacing w:after="240"/>
              <w:jc w:val="both"/>
              <w:rPr>
                <w:rFonts w:ascii="Times New Roman" w:eastAsia="Times New Roman" w:hAnsi="Times New Roman" w:cs="Times New Roman"/>
                <w:sz w:val="24"/>
              </w:rPr>
            </w:pPr>
            <w:r w:rsidRPr="00396116">
              <w:rPr>
                <w:rFonts w:ascii="Times New Roman" w:hAnsi="Times New Roman"/>
                <w:sz w:val="24"/>
              </w:rPr>
              <w:t>Wkład do funduszu kontrahenta centralnego na wypadek niewykonania zobowiązania wnoszony przez instytucje.</w:t>
            </w:r>
          </w:p>
          <w:p w14:paraId="47DBAB7C" w14:textId="47AF297D" w:rsidR="00F43911" w:rsidRPr="00396116" w:rsidRDefault="00F43911" w:rsidP="004F3087">
            <w:pPr>
              <w:keepNext/>
              <w:spacing w:after="240"/>
              <w:jc w:val="both"/>
              <w:rPr>
                <w:rFonts w:ascii="Times New Roman" w:eastAsia="Times New Roman" w:hAnsi="Times New Roman" w:cs="Times New Roman"/>
                <w:sz w:val="24"/>
              </w:rPr>
            </w:pPr>
            <w:r w:rsidRPr="00396116">
              <w:rPr>
                <w:rFonts w:ascii="Times New Roman" w:hAnsi="Times New Roman"/>
                <w:sz w:val="24"/>
              </w:rPr>
              <w:t>„Fundusz na wypadek niewykonania zobowiązania” został zdefiniowany w art. 4 ust. 1 pkt 89 rozporządzenia (UE) nr 575/2013.</w:t>
            </w:r>
          </w:p>
        </w:tc>
      </w:tr>
      <w:tr w:rsidR="00F43911" w:rsidRPr="00396116" w14:paraId="368249A9" w14:textId="77777777" w:rsidTr="004F3087">
        <w:trPr>
          <w:trHeight w:val="680"/>
        </w:trPr>
        <w:tc>
          <w:tcPr>
            <w:tcW w:w="1384" w:type="dxa"/>
          </w:tcPr>
          <w:p w14:paraId="4ECB41F2" w14:textId="77777777" w:rsidR="00F43911" w:rsidRPr="00396116" w:rsidRDefault="00F43911" w:rsidP="004F3087">
            <w:pPr>
              <w:pStyle w:val="Applicationdirecte"/>
              <w:spacing w:before="0" w:after="240"/>
              <w:jc w:val="center"/>
            </w:pPr>
            <w:r w:rsidRPr="00396116">
              <w:t>20</w:t>
            </w:r>
          </w:p>
        </w:tc>
        <w:tc>
          <w:tcPr>
            <w:tcW w:w="7655" w:type="dxa"/>
            <w:vAlign w:val="center"/>
          </w:tcPr>
          <w:p w14:paraId="66ADBBF3" w14:textId="77777777" w:rsidR="00F43911" w:rsidRPr="00396116" w:rsidRDefault="00F43911" w:rsidP="004F3087">
            <w:pPr>
              <w:keepNext/>
              <w:spacing w:after="240"/>
              <w:jc w:val="both"/>
              <w:rPr>
                <w:rFonts w:ascii="Times New Roman" w:eastAsia="Times New Roman" w:hAnsi="Times New Roman" w:cs="Times New Roman"/>
                <w:b/>
                <w:sz w:val="24"/>
              </w:rPr>
            </w:pPr>
            <w:r w:rsidRPr="00396116">
              <w:rPr>
                <w:rFonts w:ascii="Times New Roman" w:hAnsi="Times New Roman"/>
                <w:b/>
                <w:sz w:val="24"/>
              </w:rPr>
              <w:t>Niewniesione wkłady do funduszu na wypadek niewykonania zobowiązania</w:t>
            </w:r>
          </w:p>
          <w:p w14:paraId="32104DB8" w14:textId="25D785F1" w:rsidR="00F43911" w:rsidRPr="00396116" w:rsidRDefault="00F43911" w:rsidP="004F3087">
            <w:pPr>
              <w:keepNext/>
              <w:spacing w:after="240"/>
              <w:jc w:val="both"/>
              <w:rPr>
                <w:rFonts w:ascii="Times New Roman" w:eastAsia="Times New Roman" w:hAnsi="Times New Roman" w:cs="Times New Roman"/>
                <w:sz w:val="24"/>
              </w:rPr>
            </w:pPr>
            <w:r w:rsidRPr="00396116">
              <w:rPr>
                <w:rFonts w:ascii="Times New Roman" w:hAnsi="Times New Roman"/>
                <w:sz w:val="24"/>
              </w:rPr>
              <w:t>Wkłady, które instytucja pełniąca rolę uczestnika rozliczającego na mocy umowy zobowiązała się przekazać na rzecz kontrahenta centralnego po wyczerpaniu przez niego jego funduszu na wypadek niewykonania zobowiązania w celu pokrycia strat, które kontrahent ten poniósł w wyniku niewykonania zobowiązania przez jednego ze swoich uczestników rozliczających lub przez większą liczbę swoich uczestników rozliczających. „Fundusz na wypadek niewykonania zobowiązania” został zdefiniowany w art. 4 ust. 1 pkt 89 rozporządzenia (UE) nr 575/2013.</w:t>
            </w:r>
          </w:p>
        </w:tc>
      </w:tr>
      <w:tr w:rsidR="00F43911" w:rsidRPr="00396116" w14:paraId="5E181790" w14:textId="77777777" w:rsidTr="004F3087">
        <w:trPr>
          <w:trHeight w:val="680"/>
        </w:trPr>
        <w:tc>
          <w:tcPr>
            <w:tcW w:w="1384" w:type="dxa"/>
          </w:tcPr>
          <w:p w14:paraId="3F50AC9D" w14:textId="77777777" w:rsidR="00F43911" w:rsidRPr="00396116" w:rsidRDefault="00F43911" w:rsidP="004F3087">
            <w:pPr>
              <w:pStyle w:val="Applicationdirecte"/>
              <w:spacing w:before="0" w:after="240"/>
              <w:jc w:val="center"/>
            </w:pPr>
            <w:r w:rsidRPr="00396116">
              <w:t>7 i 17</w:t>
            </w:r>
          </w:p>
        </w:tc>
        <w:tc>
          <w:tcPr>
            <w:tcW w:w="7655" w:type="dxa"/>
            <w:vAlign w:val="center"/>
          </w:tcPr>
          <w:p w14:paraId="14FAE32C" w14:textId="77777777" w:rsidR="00F43911" w:rsidRPr="00396116" w:rsidRDefault="00F43911" w:rsidP="004F3087">
            <w:pPr>
              <w:spacing w:after="240"/>
              <w:jc w:val="both"/>
              <w:rPr>
                <w:rFonts w:ascii="Times New Roman" w:eastAsia="Calibri" w:hAnsi="Times New Roman" w:cs="Times New Roman"/>
                <w:b/>
                <w:sz w:val="24"/>
              </w:rPr>
            </w:pPr>
            <w:r w:rsidRPr="00396116">
              <w:rPr>
                <w:rFonts w:ascii="Times New Roman" w:hAnsi="Times New Roman"/>
                <w:b/>
                <w:sz w:val="24"/>
              </w:rPr>
              <w:t>Wyodrębnione</w:t>
            </w:r>
          </w:p>
          <w:p w14:paraId="77E9C42E" w14:textId="77777777" w:rsidR="00F43911" w:rsidRPr="00396116" w:rsidRDefault="00F43911" w:rsidP="004F3087">
            <w:pPr>
              <w:spacing w:after="240"/>
              <w:jc w:val="both"/>
              <w:rPr>
                <w:rFonts w:ascii="Times New Roman" w:eastAsia="Calibri" w:hAnsi="Times New Roman" w:cs="Times New Roman"/>
                <w:sz w:val="24"/>
              </w:rPr>
            </w:pPr>
            <w:r w:rsidRPr="00396116">
              <w:rPr>
                <w:rFonts w:ascii="Times New Roman" w:hAnsi="Times New Roman"/>
                <w:sz w:val="24"/>
              </w:rPr>
              <w:t>Zob. definicja zawarta we wzorze EU CCR5.</w:t>
            </w:r>
          </w:p>
        </w:tc>
      </w:tr>
      <w:tr w:rsidR="00F43911" w:rsidRPr="00396116" w14:paraId="3243F74D" w14:textId="77777777" w:rsidTr="004F3087">
        <w:trPr>
          <w:trHeight w:val="680"/>
        </w:trPr>
        <w:tc>
          <w:tcPr>
            <w:tcW w:w="1384" w:type="dxa"/>
          </w:tcPr>
          <w:p w14:paraId="5D4CDD15" w14:textId="77777777" w:rsidR="00F43911" w:rsidRPr="00396116" w:rsidRDefault="00F43911" w:rsidP="004F3087">
            <w:pPr>
              <w:pStyle w:val="Applicationdirecte"/>
              <w:spacing w:before="0" w:after="240"/>
              <w:jc w:val="center"/>
            </w:pPr>
            <w:r w:rsidRPr="00396116">
              <w:t>8 i 18</w:t>
            </w:r>
          </w:p>
        </w:tc>
        <w:tc>
          <w:tcPr>
            <w:tcW w:w="7655" w:type="dxa"/>
            <w:vAlign w:val="center"/>
          </w:tcPr>
          <w:p w14:paraId="68CA4C70" w14:textId="77777777" w:rsidR="00F43911" w:rsidRPr="00396116" w:rsidRDefault="00F43911" w:rsidP="004F3087">
            <w:pPr>
              <w:spacing w:after="240"/>
              <w:jc w:val="both"/>
              <w:rPr>
                <w:rFonts w:ascii="Times New Roman" w:eastAsia="Calibri" w:hAnsi="Times New Roman" w:cs="Times New Roman"/>
                <w:b/>
                <w:sz w:val="24"/>
              </w:rPr>
            </w:pPr>
            <w:r w:rsidRPr="00396116">
              <w:rPr>
                <w:rFonts w:ascii="Times New Roman" w:hAnsi="Times New Roman"/>
                <w:b/>
                <w:sz w:val="24"/>
              </w:rPr>
              <w:t>Niewyodrębnione</w:t>
            </w:r>
          </w:p>
          <w:p w14:paraId="33E34E6A" w14:textId="77777777" w:rsidR="00F43911" w:rsidRPr="00396116" w:rsidRDefault="00F43911" w:rsidP="004F3087">
            <w:pPr>
              <w:spacing w:after="240"/>
              <w:jc w:val="both"/>
              <w:rPr>
                <w:rFonts w:ascii="Times New Roman" w:eastAsia="Calibri" w:hAnsi="Times New Roman" w:cs="Times New Roman"/>
                <w:sz w:val="24"/>
              </w:rPr>
            </w:pPr>
            <w:r w:rsidRPr="00396116">
              <w:rPr>
                <w:rFonts w:ascii="Times New Roman" w:hAnsi="Times New Roman"/>
                <w:sz w:val="24"/>
              </w:rPr>
              <w:t>Zob. definicja zawarta we wzorze EU CCR5.</w:t>
            </w:r>
          </w:p>
        </w:tc>
      </w:tr>
      <w:tr w:rsidR="00F43911" w:rsidRPr="00396116"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396116" w:rsidRDefault="00F43911" w:rsidP="004F3087">
            <w:pPr>
              <w:pStyle w:val="Applicationdirecte"/>
              <w:spacing w:before="0" w:after="240"/>
              <w:jc w:val="center"/>
              <w:rPr>
                <w:b/>
              </w:rPr>
            </w:pPr>
            <w:r w:rsidRPr="00396116">
              <w:rPr>
                <w:b/>
              </w:rPr>
              <w:t>Litera kolumny</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396116" w:rsidRDefault="00F43911" w:rsidP="004F3087">
            <w:pPr>
              <w:pStyle w:val="TableMainHeading"/>
              <w:spacing w:before="0" w:after="240"/>
              <w:rPr>
                <w:rFonts w:ascii="Times New Roman" w:hAnsi="Times New Roman"/>
                <w:b/>
                <w:sz w:val="24"/>
                <w:szCs w:val="24"/>
              </w:rPr>
            </w:pPr>
            <w:r w:rsidRPr="00396116">
              <w:rPr>
                <w:rFonts w:ascii="Times New Roman" w:hAnsi="Times New Roman"/>
                <w:b/>
                <w:sz w:val="24"/>
              </w:rPr>
              <w:t>Wyjaśnienie</w:t>
            </w:r>
          </w:p>
        </w:tc>
      </w:tr>
      <w:tr w:rsidR="00F43911" w:rsidRPr="00396116" w14:paraId="4DE730C0" w14:textId="77777777" w:rsidTr="004F3087">
        <w:trPr>
          <w:trHeight w:val="680"/>
        </w:trPr>
        <w:tc>
          <w:tcPr>
            <w:tcW w:w="1384" w:type="dxa"/>
          </w:tcPr>
          <w:p w14:paraId="0419643B" w14:textId="77777777" w:rsidR="00F43911" w:rsidRPr="00396116" w:rsidRDefault="00F43911" w:rsidP="004F3087">
            <w:pPr>
              <w:pStyle w:val="Applicationdirecte"/>
              <w:spacing w:before="0" w:after="240"/>
              <w:jc w:val="center"/>
            </w:pPr>
            <w:r w:rsidRPr="00396116">
              <w:t>a</w:t>
            </w:r>
          </w:p>
        </w:tc>
        <w:tc>
          <w:tcPr>
            <w:tcW w:w="7655" w:type="dxa"/>
            <w:vAlign w:val="center"/>
          </w:tcPr>
          <w:p w14:paraId="5D26D40B" w14:textId="77777777" w:rsidR="00F43911" w:rsidRPr="00396116" w:rsidRDefault="00F43911" w:rsidP="004F3087">
            <w:pPr>
              <w:keepNext/>
              <w:spacing w:after="240"/>
              <w:jc w:val="both"/>
              <w:rPr>
                <w:rFonts w:ascii="Times New Roman" w:eastAsia="Times New Roman" w:hAnsi="Times New Roman" w:cs="Times New Roman"/>
                <w:b/>
                <w:sz w:val="24"/>
              </w:rPr>
            </w:pPr>
            <w:r w:rsidRPr="00396116">
              <w:rPr>
                <w:rFonts w:ascii="Times New Roman" w:hAnsi="Times New Roman"/>
                <w:b/>
                <w:sz w:val="24"/>
              </w:rPr>
              <w:t>Wartość ekspozycji</w:t>
            </w:r>
          </w:p>
          <w:p w14:paraId="35A19512" w14:textId="30257E7C" w:rsidR="00F43911" w:rsidRPr="00396116" w:rsidRDefault="00F43911" w:rsidP="004F3087">
            <w:pPr>
              <w:keepNext/>
              <w:spacing w:after="240"/>
              <w:jc w:val="both"/>
              <w:rPr>
                <w:rFonts w:ascii="Times New Roman" w:eastAsia="Times New Roman" w:hAnsi="Times New Roman" w:cs="Times New Roman"/>
                <w:sz w:val="24"/>
              </w:rPr>
            </w:pPr>
            <w:r w:rsidRPr="00396116">
              <w:rPr>
                <w:rFonts w:ascii="Times New Roman" w:hAnsi="Times New Roman"/>
                <w:sz w:val="24"/>
              </w:rPr>
              <w:t xml:space="preserve">Wartość ekspozycji obliczona zgodnie z metodami ustanowionymi w części trzeciej tytuł II rozdziały 4 i 6 rozporządzenia (UE) nr 575/2013 dla transakcji wchodzących w zakres części trzeciej tytuł II rozdział 6 sekcja 9 rozporządzenia (UE) nr 575/2013 po dokonaniu odpowiednich korekt przewidzianych w art. 304, 306 i 308 tej sekcji. </w:t>
            </w:r>
          </w:p>
          <w:p w14:paraId="12E09CAC" w14:textId="75171097" w:rsidR="00F43911" w:rsidRPr="00396116" w:rsidRDefault="00F43911" w:rsidP="004F3087">
            <w:pPr>
              <w:keepNext/>
              <w:spacing w:after="240"/>
              <w:jc w:val="both"/>
              <w:rPr>
                <w:rFonts w:ascii="Times New Roman" w:eastAsia="Times New Roman" w:hAnsi="Times New Roman" w:cs="Times New Roman"/>
                <w:i/>
                <w:sz w:val="24"/>
              </w:rPr>
            </w:pPr>
            <w:r w:rsidRPr="00396116">
              <w:rPr>
                <w:rFonts w:ascii="Times New Roman" w:hAnsi="Times New Roman"/>
                <w:sz w:val="24"/>
              </w:rPr>
              <w:t>Ekspozycja może być ekspozycją z tytułu transakcji zdefiniowaną w art. 4 ust. 1 pkt 91 rozporządzenia (UE) nr 575/2013. Ujawniona wartość ekspozycji odpowiada kwocie istotnej z punktu widzenia obliczeń wymogów w zakresie funduszy własnych przeprowadzanych zgodnie z częścią trzecią tytuł II rozdział 6 sekcja 9 rozporządzenia (UE) nr 575/2013, biorąc pod uwagę wymogi ustanowione w art. 497 rozporządzenia (UE) nr 575/2013 obowiązujące w okresie przejściowym wyznaczonym w tym artykule.</w:t>
            </w:r>
          </w:p>
        </w:tc>
      </w:tr>
      <w:tr w:rsidR="00F43911" w:rsidRPr="00396116" w14:paraId="3E896BAB" w14:textId="77777777" w:rsidTr="004F3087">
        <w:trPr>
          <w:trHeight w:val="680"/>
        </w:trPr>
        <w:tc>
          <w:tcPr>
            <w:tcW w:w="1384" w:type="dxa"/>
          </w:tcPr>
          <w:p w14:paraId="39460D6B" w14:textId="77777777" w:rsidR="00F43911" w:rsidRPr="00396116" w:rsidRDefault="00F43911" w:rsidP="004F3087">
            <w:pPr>
              <w:pStyle w:val="Applicationdirecte"/>
              <w:spacing w:before="0" w:after="240"/>
              <w:jc w:val="center"/>
            </w:pPr>
            <w:r w:rsidRPr="00396116">
              <w:lastRenderedPageBreak/>
              <w:t>b</w:t>
            </w:r>
          </w:p>
        </w:tc>
        <w:tc>
          <w:tcPr>
            <w:tcW w:w="7655" w:type="dxa"/>
            <w:vAlign w:val="center"/>
          </w:tcPr>
          <w:p w14:paraId="4F7D8947" w14:textId="77777777" w:rsidR="00F43911" w:rsidRPr="00396116" w:rsidRDefault="00F43911" w:rsidP="004F3087">
            <w:pPr>
              <w:keepNext/>
              <w:spacing w:after="240"/>
              <w:jc w:val="both"/>
              <w:rPr>
                <w:rFonts w:ascii="Times New Roman" w:eastAsia="Times New Roman" w:hAnsi="Times New Roman" w:cs="Times New Roman"/>
                <w:b/>
                <w:sz w:val="24"/>
              </w:rPr>
            </w:pPr>
            <w:r w:rsidRPr="00396116">
              <w:rPr>
                <w:rFonts w:ascii="Times New Roman" w:hAnsi="Times New Roman"/>
                <w:b/>
                <w:sz w:val="24"/>
              </w:rPr>
              <w:t>Kwoty ekspozycji ważonej ryzykiem</w:t>
            </w:r>
          </w:p>
          <w:p w14:paraId="1E08469B" w14:textId="2290AF23" w:rsidR="00F43911" w:rsidRPr="00396116" w:rsidRDefault="00F43911" w:rsidP="004F3087">
            <w:pPr>
              <w:keepNext/>
              <w:spacing w:after="240"/>
              <w:jc w:val="both"/>
              <w:rPr>
                <w:rFonts w:ascii="Times New Roman" w:eastAsia="Times New Roman" w:hAnsi="Times New Roman" w:cs="Times New Roman"/>
                <w:sz w:val="24"/>
              </w:rPr>
            </w:pPr>
            <w:r w:rsidRPr="00396116">
              <w:rPr>
                <w:rFonts w:ascii="Times New Roman" w:hAnsi="Times New Roman"/>
                <w:sz w:val="24"/>
              </w:rPr>
              <w:t xml:space="preserve">Kwoty ekspozycji ważonych ryzykiem, o których mowa w art. 92 ust. 3 lit. a) rozporządzenia (UE) nr 575/2013, </w:t>
            </w:r>
            <w:r w:rsidRPr="00396116">
              <w:rPr>
                <w:rFonts w:ascii="Times New Roman" w:hAnsi="Times New Roman"/>
                <w:color w:val="000000"/>
                <w:sz w:val="24"/>
              </w:rPr>
              <w:t xml:space="preserve">obliczone </w:t>
            </w:r>
            <w:r w:rsidRPr="00396116">
              <w:rPr>
                <w:rFonts w:ascii="Times New Roman" w:hAnsi="Times New Roman"/>
                <w:sz w:val="24"/>
              </w:rPr>
              <w:t>zgodnie z częścią trzecią tytuł II rozdział 6 sekcja 9 art. 107 rozporządzenia (UE) nr 575/2013.</w:t>
            </w:r>
          </w:p>
        </w:tc>
      </w:tr>
    </w:tbl>
    <w:p w14:paraId="38F46446" w14:textId="77777777" w:rsidR="00F43911" w:rsidRPr="00396116" w:rsidRDefault="00F43911" w:rsidP="00F43911">
      <w:pPr>
        <w:pStyle w:val="Titlelevel2"/>
        <w:spacing w:before="0"/>
        <w:rPr>
          <w:rFonts w:ascii="Times New Roman" w:hAnsi="Times New Roman" w:cs="Times New Roman"/>
          <w:color w:val="auto"/>
          <w:sz w:val="24"/>
        </w:rPr>
      </w:pPr>
    </w:p>
    <w:p w14:paraId="12B7B384" w14:textId="77777777" w:rsidR="00993FC2" w:rsidRPr="00396116" w:rsidRDefault="00993FC2"/>
    <w:sectPr w:rsidR="00993FC2" w:rsidRPr="00396116">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79FB" w14:textId="77777777" w:rsidR="008F4881" w:rsidRPr="00396116" w:rsidRDefault="008F4881" w:rsidP="00F43911">
      <w:r w:rsidRPr="00396116">
        <w:separator/>
      </w:r>
    </w:p>
  </w:endnote>
  <w:endnote w:type="continuationSeparator" w:id="0">
    <w:p w14:paraId="48686D03" w14:textId="77777777" w:rsidR="008F4881" w:rsidRPr="00396116" w:rsidRDefault="008F4881" w:rsidP="00F43911">
      <w:r w:rsidRPr="0039611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sdtContent>
      <w:p w14:paraId="30758E19" w14:textId="77777777" w:rsidR="00F43911" w:rsidRPr="00396116" w:rsidRDefault="00F43911">
        <w:pPr>
          <w:pStyle w:val="Footer"/>
          <w:jc w:val="right"/>
        </w:pPr>
        <w:r w:rsidRPr="00396116">
          <w:fldChar w:fldCharType="begin"/>
        </w:r>
        <w:r w:rsidRPr="00396116">
          <w:instrText xml:space="preserve"> PAGE   \* MERGEFORMAT </w:instrText>
        </w:r>
        <w:r w:rsidRPr="00396116">
          <w:fldChar w:fldCharType="separate"/>
        </w:r>
        <w:r w:rsidRPr="00396116">
          <w:t>8</w:t>
        </w:r>
        <w:r w:rsidRPr="00396116">
          <w:fldChar w:fldCharType="end"/>
        </w:r>
      </w:p>
    </w:sdtContent>
  </w:sdt>
  <w:p w14:paraId="28D91080" w14:textId="77777777" w:rsidR="00F43911" w:rsidRPr="00396116"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706" w14:textId="77777777" w:rsidR="008F4881" w:rsidRPr="00396116" w:rsidRDefault="008F4881" w:rsidP="00F43911">
      <w:r w:rsidRPr="00396116">
        <w:separator/>
      </w:r>
    </w:p>
  </w:footnote>
  <w:footnote w:type="continuationSeparator" w:id="0">
    <w:p w14:paraId="2A6C6F9F" w14:textId="77777777" w:rsidR="008F4881" w:rsidRPr="00396116" w:rsidRDefault="008F4881" w:rsidP="00F43911">
      <w:r w:rsidRPr="00396116">
        <w:continuationSeparator/>
      </w:r>
    </w:p>
  </w:footnote>
  <w:footnote w:id="1">
    <w:p w14:paraId="4BEF01B5" w14:textId="7B31B879" w:rsidR="00F43911" w:rsidRPr="00396116" w:rsidRDefault="00F43911" w:rsidP="00F43911">
      <w:pPr>
        <w:pStyle w:val="FootnoteText"/>
        <w:rPr>
          <w:rFonts w:cstheme="minorHAnsi"/>
        </w:rPr>
      </w:pPr>
      <w:r w:rsidRPr="00396116">
        <w:rPr>
          <w:rStyle w:val="FootnoteReference"/>
          <w:rFonts w:cstheme="minorHAnsi"/>
        </w:rPr>
        <w:footnoteRef/>
      </w:r>
      <w:r w:rsidRPr="00396116">
        <w:tab/>
        <w:t>Rozporządzenie Parlamentu Europejskiego i Rady (UE) nr 575/2013 z dnia 26 czerwca 2013 r. w sprawie wymogów ostrożnościowych dla instytucji kredytowych oraz zmieniające rozporządzenie (UE) nr 648/2012, zmienione rozporządzeniem (UE) 2024/1623 (</w:t>
      </w:r>
      <w:hyperlink r:id="rId1" w:history="1">
        <w:r w:rsidRPr="00396116">
          <w:rPr>
            <w:rStyle w:val="Hyperlink"/>
            <w:color w:val="800080"/>
          </w:rPr>
          <w:t>Dz.U. L 176 z 27.6.2013, s. 1</w:t>
        </w:r>
      </w:hyperlink>
      <w:r w:rsidRPr="00396116">
        <w:rPr>
          <w:color w:val="800080"/>
          <w:u w:val="single"/>
        </w:rPr>
        <w:t xml:space="preserve">; </w:t>
      </w:r>
      <w:hyperlink r:id="rId2" w:history="1">
        <w:r w:rsidRPr="00396116">
          <w:rPr>
            <w:rStyle w:val="Hyperlink"/>
          </w:rPr>
          <w:t>Rozporządzenie - UE - 2024/1623 - PL - EUR-Lex (europa.eu)</w:t>
        </w:r>
      </w:hyperlink>
      <w:r w:rsidRPr="00396116">
        <w:rPr>
          <w:color w:val="44444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Pr="00396116" w:rsidRDefault="00532BBF">
    <w:pPr>
      <w:pStyle w:val="Header"/>
    </w:pPr>
    <w:r w:rsidRPr="00396116">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C7C9B1F" id="_x0000_t202" coordsize="21600,21600" o:spt="202" path="m,l,21600r21600,l21600,xe">
              <v:stroke joinstyle="miter"/>
              <v:path gradientshapeok="t" o:connecttype="rect"/>
            </v:shapetype>
            <v:shape id="Text Box 2" o:spid="_x0000_s1026" type="#_x0000_t202" alt="Title:  - Description: EUNB – Standardowe wykorzystani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Pr="00396116" w:rsidRDefault="00532BBF">
    <w:pPr>
      <w:pStyle w:val="Header"/>
    </w:pPr>
    <w:r w:rsidRPr="00396116">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6D3C2832" w:rsidR="00532BBF" w:rsidRPr="00532BBF" w:rsidRDefault="00532BBF" w:rsidP="00532BBF">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54AF2C4" id="_x0000_t202" coordsize="21600,21600" o:spt="202" path="m,l,21600r21600,l21600,xe">
              <v:stroke joinstyle="miter"/>
              <v:path gradientshapeok="t" o:connecttype="rect"/>
            </v:shapetype>
            <v:shape id="Text Box 3" o:spid="_x0000_s1027" type="#_x0000_t202" alt="Title:  - Description: EUNB – Standardowe wykorzystani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7B5B00D7" w14:textId="6D3C2832"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Pr="00396116" w:rsidRDefault="00532BBF">
    <w:pPr>
      <w:pStyle w:val="Header"/>
    </w:pPr>
    <w:r w:rsidRPr="00396116">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F7B3877" id="_x0000_t202" coordsize="21600,21600" o:spt="202" path="m,l,21600r21600,l21600,xe">
              <v:stroke joinstyle="miter"/>
              <v:path gradientshapeok="t" o:connecttype="rect"/>
            </v:shapetype>
            <v:shape id="Text Box 1" o:spid="_x0000_s1028" type="#_x0000_t202" alt="Title:  - Description: EUNB – Standardowe wykorzystani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pl-PL" w:vendorID="64" w:dllVersion="0" w:nlCheck="1" w:checkStyle="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2149B1"/>
    <w:rsid w:val="00365E5D"/>
    <w:rsid w:val="00396116"/>
    <w:rsid w:val="00532BBF"/>
    <w:rsid w:val="006B1D12"/>
    <w:rsid w:val="007D4C3D"/>
    <w:rsid w:val="008F4881"/>
    <w:rsid w:val="00993FC2"/>
    <w:rsid w:val="00AB0BDD"/>
    <w:rsid w:val="00CD5187"/>
    <w:rsid w:val="00D50CDF"/>
    <w:rsid w:val="00DD6E68"/>
    <w:rsid w:val="00F43911"/>
    <w:rsid w:val="00F7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F43911"/>
    <w:rPr>
      <w:rFonts w:eastAsiaTheme="minorEastAsia"/>
      <w:sz w:val="18"/>
      <w:szCs w:val="18"/>
      <w:lang w:val="pl-P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uri=OJ:L_202401623" TargetMode="External"/><Relationship Id="rId1" Type="http://schemas.openxmlformats.org/officeDocument/2006/relationships/hyperlink" Target="https://eur-lex.europa.eu/legal-content/P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C4518B-3EE7-4519-94F8-857BB784C5FA}"/>
</file>

<file path=customXml/itemProps2.xml><?xml version="1.0" encoding="utf-8"?>
<ds:datastoreItem xmlns:ds="http://schemas.openxmlformats.org/officeDocument/2006/customXml" ds:itemID="{F2AF98D6-CBF7-434A-9A70-030233195C58}">
  <ds:schemaRefs>
    <ds:schemaRef ds:uri="http://schemas.microsoft.com/sharepoint/v3/contenttype/forms"/>
  </ds:schemaRefs>
</ds:datastoreItem>
</file>

<file path=customXml/itemProps3.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26</TotalTime>
  <Pages>18</Pages>
  <Words>5174</Words>
  <Characters>33425</Characters>
  <Application>Microsoft Office Word</Application>
  <DocSecurity>0</DocSecurity>
  <Lines>742</Lines>
  <Paragraphs>324</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WENDEL Agnieszka (DGT)</cp:lastModifiedBy>
  <cp:revision>11</cp:revision>
  <dcterms:created xsi:type="dcterms:W3CDTF">2021-03-11T13:24:00Z</dcterms:created>
  <dcterms:modified xsi:type="dcterms:W3CDTF">2024-10-17T13:42:00Z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